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89E" w:rsidRPr="00D32644" w:rsidRDefault="0074589E" w:rsidP="00AC6A83">
      <w:pPr>
        <w:spacing w:before="240" w:after="240" w:line="360" w:lineRule="auto"/>
        <w:jc w:val="both"/>
        <w:rPr>
          <w:rFonts w:ascii="Palatino Linotype" w:hAnsi="Palatino Linotype"/>
          <w:b/>
          <w:sz w:val="23"/>
          <w:szCs w:val="23"/>
        </w:rPr>
      </w:pPr>
      <w:r w:rsidRPr="00D32644">
        <w:rPr>
          <w:rFonts w:ascii="Palatino Linotype" w:hAnsi="Palatino Linotype"/>
          <w:b/>
          <w:sz w:val="23"/>
          <w:szCs w:val="23"/>
        </w:rPr>
        <w:t>VOTO DISIDENTE QUE FORMULA EL COMISIONADO JAVIER MARTÍNEZ CRUZ, EN RELACIÓN CON LA RESOLUCIÓN DICTADA POR EL PLENO DEL INSTITUTO DE TRANSPARENCIA, ACCESO A LA INFORMACIÓN PÚBLICA Y PROTECCIÓN DE DATOS PERSONALES DEL ESTADO DE MÉXICO Y MUNICIPIOS, EN LA TRIGÉSIMA OCTAVA SESIÓN ORDINARIA DEL DIECISIETE DE OCTUBRE DE DOS MIL DIECIOCHO, EN EL RECURSO DE REVISIÓN 03396/INFOEM/IP/RR/2018.</w:t>
      </w:r>
    </w:p>
    <w:p w:rsidR="0074589E" w:rsidRPr="00D32644" w:rsidRDefault="0074589E" w:rsidP="00AC6A83">
      <w:pPr>
        <w:spacing w:before="240" w:after="240" w:line="360" w:lineRule="auto"/>
        <w:jc w:val="both"/>
        <w:rPr>
          <w:rFonts w:ascii="Palatino Linotype" w:hAnsi="Palatino Linotype"/>
          <w:sz w:val="23"/>
          <w:szCs w:val="23"/>
        </w:rPr>
      </w:pPr>
      <w:r w:rsidRPr="00D32644">
        <w:rPr>
          <w:rFonts w:ascii="Palatino Linotype" w:hAnsi="Palatino Linotype"/>
          <w:sz w:val="23"/>
          <w:szCs w:val="23"/>
        </w:rPr>
        <w:t xml:space="preserve">Con fundamento en lo dispuesto por el artículo 14 fracción XI del Reglamento Interior del Instituto de Transparencia, Acceso a la Información Pública y Protección de Datos Personales del Estado de México y Municipios, el Comisionado Javier Martínez Cruz emite </w:t>
      </w:r>
      <w:r w:rsidRPr="00D32644">
        <w:rPr>
          <w:rFonts w:ascii="Palatino Linotype" w:hAnsi="Palatino Linotype"/>
          <w:b/>
          <w:sz w:val="23"/>
          <w:szCs w:val="23"/>
        </w:rPr>
        <w:t xml:space="preserve">VOTO DISIDENTE </w:t>
      </w:r>
      <w:r w:rsidRPr="00D32644">
        <w:rPr>
          <w:rFonts w:ascii="Palatino Linotype" w:hAnsi="Palatino Linotype"/>
          <w:sz w:val="23"/>
          <w:szCs w:val="23"/>
        </w:rPr>
        <w:t xml:space="preserve">respecto a la resolución dictada en el recurso de revisión número 03396/INFOEM/IP/RR/2018, pronunciada por el Pleno de este Instituto ante el proyecto presentado por el Comisionado Luis Gustavo Parra Noriega, que es del tenor siguiente: </w:t>
      </w:r>
    </w:p>
    <w:p w:rsidR="0074589E" w:rsidRPr="00D32644" w:rsidRDefault="0074589E" w:rsidP="00AC6A83">
      <w:pPr>
        <w:spacing w:before="240" w:after="240" w:line="360" w:lineRule="auto"/>
        <w:jc w:val="both"/>
        <w:rPr>
          <w:rFonts w:ascii="Palatino Linotype" w:hAnsi="Palatino Linotype"/>
          <w:sz w:val="23"/>
          <w:szCs w:val="23"/>
        </w:rPr>
      </w:pPr>
      <w:r w:rsidRPr="00D32644">
        <w:rPr>
          <w:rFonts w:ascii="Palatino Linotype" w:hAnsi="Palatino Linotype"/>
          <w:sz w:val="23"/>
          <w:szCs w:val="23"/>
        </w:rPr>
        <w:t xml:space="preserve">En primer término es de suma importancia mencionar que el suscrito no coincide en el sentido de la resolución del recurso de revisión al rubro indicado, lo anterior es así </w:t>
      </w:r>
      <w:r w:rsidR="00C17C0A" w:rsidRPr="00D32644">
        <w:rPr>
          <w:rFonts w:ascii="Palatino Linotype" w:hAnsi="Palatino Linotype"/>
          <w:sz w:val="23"/>
          <w:szCs w:val="23"/>
        </w:rPr>
        <w:t xml:space="preserve">toda vez que no se debe perder de vista que la recurrente </w:t>
      </w:r>
      <w:r w:rsidRPr="00D32644">
        <w:rPr>
          <w:rFonts w:ascii="Palatino Linotype" w:hAnsi="Palatino Linotype"/>
          <w:sz w:val="23"/>
          <w:szCs w:val="23"/>
        </w:rPr>
        <w:t xml:space="preserve">requirió a través de la solicitud número de folio </w:t>
      </w:r>
      <w:r w:rsidR="00C17C0A" w:rsidRPr="00D32644">
        <w:rPr>
          <w:rFonts w:ascii="Palatino Linotype" w:hAnsi="Palatino Linotype" w:cs="Arial"/>
          <w:b/>
          <w:bCs/>
        </w:rPr>
        <w:t>00313/ECATEPEC/IP/2018</w:t>
      </w:r>
      <w:r w:rsidRPr="00D32644">
        <w:rPr>
          <w:rFonts w:ascii="Palatino Linotype" w:hAnsi="Palatino Linotype" w:cs="Arial"/>
        </w:rPr>
        <w:t xml:space="preserve">, que se le proporcionara lo siguiente: </w:t>
      </w:r>
    </w:p>
    <w:p w:rsidR="0074589E" w:rsidRPr="00D32644" w:rsidRDefault="0074589E" w:rsidP="0074589E">
      <w:pPr>
        <w:ind w:left="851" w:right="901"/>
        <w:jc w:val="both"/>
        <w:rPr>
          <w:rFonts w:ascii="Palatino Linotype" w:hAnsi="Palatino Linotype" w:cs="Arial"/>
          <w:i/>
          <w:sz w:val="20"/>
          <w:szCs w:val="20"/>
          <w:lang w:eastAsia="es-MX"/>
        </w:rPr>
      </w:pPr>
      <w:r w:rsidRPr="00D32644">
        <w:rPr>
          <w:rFonts w:ascii="Palatino Linotype" w:hAnsi="Palatino Linotype" w:cs="Arial"/>
          <w:i/>
          <w:sz w:val="20"/>
          <w:szCs w:val="20"/>
          <w:lang w:eastAsia="es-MX"/>
        </w:rPr>
        <w:t>“</w:t>
      </w:r>
      <w:r w:rsidR="00C17C0A" w:rsidRPr="00D32644">
        <w:rPr>
          <w:rFonts w:ascii="Palatino Linotype" w:hAnsi="Palatino Linotype" w:cs="Arial"/>
          <w:b/>
          <w:i/>
          <w:sz w:val="20"/>
          <w:szCs w:val="20"/>
          <w:u w:val="single"/>
          <w:lang w:eastAsia="es-MX"/>
        </w:rPr>
        <w:t xml:space="preserve">solicito </w:t>
      </w:r>
      <w:r w:rsidR="00C17C0A" w:rsidRPr="00D32644">
        <w:rPr>
          <w:rFonts w:ascii="Palatino Linotype" w:hAnsi="Palatino Linotype" w:cs="Arial"/>
          <w:i/>
          <w:sz w:val="20"/>
          <w:szCs w:val="20"/>
          <w:lang w:eastAsia="es-MX"/>
        </w:rPr>
        <w:t xml:space="preserve">atentamente </w:t>
      </w:r>
      <w:r w:rsidR="00C17C0A" w:rsidRPr="00D32644">
        <w:rPr>
          <w:rFonts w:ascii="Palatino Linotype" w:hAnsi="Palatino Linotype" w:cs="Arial"/>
          <w:b/>
          <w:i/>
          <w:sz w:val="20"/>
          <w:szCs w:val="20"/>
          <w:u w:val="single"/>
          <w:lang w:eastAsia="es-MX"/>
        </w:rPr>
        <w:t xml:space="preserve">copia certificado de la licencia de funcionamiento del </w:t>
      </w:r>
      <w:r w:rsidR="00A67F5B">
        <w:rPr>
          <w:rFonts w:ascii="Palatino Linotype" w:hAnsi="Palatino Linotype" w:cs="Arial"/>
          <w:b/>
          <w:i/>
          <w:sz w:val="20"/>
          <w:szCs w:val="20"/>
          <w:u w:val="single"/>
          <w:lang w:eastAsia="es-MX"/>
        </w:rPr>
        <w:t>año 2018, expedida a nombre de Xxxxxxx Xxxx Xxxxxxxx</w:t>
      </w:r>
      <w:r w:rsidR="00C17C0A" w:rsidRPr="00D32644">
        <w:rPr>
          <w:rFonts w:ascii="Palatino Linotype" w:hAnsi="Palatino Linotype" w:cs="Arial"/>
          <w:b/>
          <w:i/>
          <w:sz w:val="20"/>
          <w:szCs w:val="20"/>
          <w:u w:val="single"/>
          <w:lang w:eastAsia="es-MX"/>
        </w:rPr>
        <w:t xml:space="preserve">, con giro de taller de bicicletas con venta de refacciones, ubicada en </w:t>
      </w:r>
      <w:r w:rsidR="00073209">
        <w:rPr>
          <w:rFonts w:ascii="Palatino Linotype" w:hAnsi="Palatino Linotype" w:cs="Arial"/>
          <w:b/>
          <w:i/>
          <w:sz w:val="20"/>
          <w:szCs w:val="20"/>
          <w:u w:val="single"/>
          <w:lang w:eastAsia="es-MX"/>
        </w:rPr>
        <w:t>Xxxxxxxxxxxxxxxxxxxxxxxxxxxxxxxxxxxxxxxxxxxxxxx</w:t>
      </w:r>
      <w:r w:rsidRPr="00D32644">
        <w:rPr>
          <w:rFonts w:ascii="Palatino Linotype" w:hAnsi="Palatino Linotype" w:cs="Arial"/>
          <w:i/>
          <w:sz w:val="20"/>
          <w:szCs w:val="20"/>
          <w:lang w:eastAsia="es-MX"/>
        </w:rPr>
        <w:t>" (sic)</w:t>
      </w:r>
    </w:p>
    <w:p w:rsidR="0074589E" w:rsidRPr="00D32644" w:rsidRDefault="0074589E" w:rsidP="0074589E">
      <w:pPr>
        <w:ind w:left="851" w:right="901"/>
        <w:jc w:val="both"/>
        <w:rPr>
          <w:rFonts w:ascii="Palatino Linotype" w:hAnsi="Palatino Linotype" w:cs="Arial"/>
          <w:i/>
          <w:sz w:val="20"/>
          <w:szCs w:val="20"/>
          <w:lang w:eastAsia="es-MX"/>
        </w:rPr>
      </w:pPr>
      <w:r w:rsidRPr="00D32644">
        <w:rPr>
          <w:rFonts w:ascii="Palatino Linotype" w:hAnsi="Palatino Linotype" w:cs="Arial"/>
          <w:i/>
          <w:sz w:val="20"/>
          <w:szCs w:val="20"/>
          <w:lang w:eastAsia="es-MX"/>
        </w:rPr>
        <w:lastRenderedPageBreak/>
        <w:t>Énfasis añadido.</w:t>
      </w:r>
    </w:p>
    <w:p w:rsidR="00C17C0A" w:rsidRPr="00D32644" w:rsidRDefault="0074589E" w:rsidP="00AC6A83">
      <w:pPr>
        <w:spacing w:before="240" w:after="240" w:line="360" w:lineRule="auto"/>
        <w:jc w:val="both"/>
        <w:rPr>
          <w:rFonts w:ascii="Palatino Linotype" w:hAnsi="Palatino Linotype"/>
          <w:sz w:val="23"/>
          <w:szCs w:val="23"/>
        </w:rPr>
      </w:pPr>
      <w:r w:rsidRPr="00D32644">
        <w:rPr>
          <w:rFonts w:ascii="Palatino Linotype" w:hAnsi="Palatino Linotype"/>
          <w:sz w:val="23"/>
          <w:szCs w:val="23"/>
        </w:rPr>
        <w:t xml:space="preserve">En este sentido debe precisarse que </w:t>
      </w:r>
      <w:r w:rsidR="00C17C0A" w:rsidRPr="00D32644">
        <w:rPr>
          <w:rFonts w:ascii="Palatino Linotype" w:hAnsi="Palatino Linotype"/>
          <w:sz w:val="23"/>
          <w:szCs w:val="23"/>
        </w:rPr>
        <w:t xml:space="preserve">el Sujeto Obligado omitió dar respuesta a la solicitud en comento, dentro del plazo legal establecido en el artículo 163 de la Ley de Transparencia vigente en la entidad, razón por la cual la impetrante en fecha trece de septiembre de la anualidad en curso, interpuso el presente medio de impugnación </w:t>
      </w:r>
      <w:r w:rsidR="00C17C0A" w:rsidRPr="00D32644">
        <w:rPr>
          <w:rFonts w:ascii="Palatino Linotype" w:hAnsi="Palatino Linotype" w:cs="Arial"/>
        </w:rPr>
        <w:t>expresando lo siguiente:</w:t>
      </w:r>
    </w:p>
    <w:p w:rsidR="00C17C0A" w:rsidRPr="00D32644" w:rsidRDefault="00C17C0A" w:rsidP="00C17C0A">
      <w:pPr>
        <w:spacing w:line="360" w:lineRule="auto"/>
        <w:rPr>
          <w:rFonts w:ascii="Palatino Linotype" w:hAnsi="Palatino Linotype" w:cs="Arial"/>
          <w:b/>
        </w:rPr>
      </w:pPr>
      <w:r w:rsidRPr="00D32644">
        <w:rPr>
          <w:rFonts w:ascii="Palatino Linotype" w:hAnsi="Palatino Linotype" w:cs="Arial"/>
          <w:b/>
        </w:rPr>
        <w:t>a) Acto impugnado.</w:t>
      </w:r>
    </w:p>
    <w:p w:rsidR="00C17C0A" w:rsidRPr="00D32644" w:rsidRDefault="00C17C0A" w:rsidP="00C17C0A">
      <w:pPr>
        <w:pStyle w:val="Prrafodelista"/>
        <w:spacing w:before="240" w:after="240"/>
        <w:ind w:left="1077" w:right="1043"/>
        <w:jc w:val="both"/>
        <w:rPr>
          <w:rFonts w:ascii="Palatino Linotype" w:hAnsi="Palatino Linotype" w:cs="Arial"/>
          <w:b/>
          <w:bCs/>
          <w:i/>
        </w:rPr>
      </w:pPr>
      <w:r w:rsidRPr="00D32644">
        <w:rPr>
          <w:rFonts w:ascii="Palatino Linotype" w:hAnsi="Palatino Linotype"/>
          <w:i/>
        </w:rPr>
        <w:t>“</w:t>
      </w:r>
      <w:r w:rsidR="00620752" w:rsidRPr="00D32644">
        <w:rPr>
          <w:rFonts w:ascii="Palatino Linotype" w:hAnsi="Palatino Linotype"/>
          <w:i/>
        </w:rPr>
        <w:t>no hay respuesta por parte del sujeto obligado</w:t>
      </w:r>
      <w:r w:rsidRPr="00D32644">
        <w:rPr>
          <w:rFonts w:ascii="Palatino Linotype" w:hAnsi="Palatino Linotype"/>
          <w:i/>
        </w:rPr>
        <w:t>.</w:t>
      </w:r>
      <w:r w:rsidRPr="00D32644">
        <w:rPr>
          <w:rFonts w:ascii="Palatino Linotype" w:hAnsi="Palatino Linotype" w:cs="Arial"/>
          <w:i/>
        </w:rPr>
        <w:t>” (sic)</w:t>
      </w:r>
    </w:p>
    <w:p w:rsidR="00C17C0A" w:rsidRPr="00D32644" w:rsidRDefault="00C17C0A" w:rsidP="00C17C0A">
      <w:pPr>
        <w:pStyle w:val="Prrafodelista"/>
        <w:rPr>
          <w:rFonts w:ascii="Palatino Linotype" w:hAnsi="Palatino Linotype" w:cs="Arial"/>
          <w:b/>
          <w:bCs/>
          <w:i/>
        </w:rPr>
      </w:pPr>
    </w:p>
    <w:p w:rsidR="00C17C0A" w:rsidRPr="00D32644" w:rsidRDefault="00C17C0A" w:rsidP="00C17C0A">
      <w:pPr>
        <w:spacing w:line="360" w:lineRule="auto"/>
        <w:jc w:val="both"/>
        <w:rPr>
          <w:rFonts w:ascii="Palatino Linotype" w:hAnsi="Palatino Linotype" w:cs="Arial"/>
          <w:b/>
        </w:rPr>
      </w:pPr>
      <w:r w:rsidRPr="00D32644">
        <w:rPr>
          <w:rFonts w:ascii="Palatino Linotype" w:hAnsi="Palatino Linotype" w:cs="Arial"/>
          <w:b/>
        </w:rPr>
        <w:t>b) Motivos de inconformidad.</w:t>
      </w:r>
    </w:p>
    <w:p w:rsidR="0074589E" w:rsidRPr="00D32644" w:rsidRDefault="00C17C0A" w:rsidP="00C17C0A">
      <w:pPr>
        <w:spacing w:after="0" w:line="240" w:lineRule="auto"/>
        <w:ind w:left="851" w:right="851"/>
        <w:jc w:val="both"/>
        <w:rPr>
          <w:rFonts w:ascii="Palatino Linotype" w:hAnsi="Palatino Linotype" w:cs="Arial"/>
          <w:i/>
        </w:rPr>
      </w:pPr>
      <w:r w:rsidRPr="00D32644">
        <w:rPr>
          <w:rFonts w:ascii="Palatino Linotype" w:hAnsi="Palatino Linotype" w:cs="Arial"/>
          <w:bCs/>
          <w:i/>
        </w:rPr>
        <w:t xml:space="preserve"> “</w:t>
      </w:r>
      <w:r w:rsidR="00620752" w:rsidRPr="00D32644">
        <w:rPr>
          <w:rFonts w:ascii="Palatino Linotype" w:hAnsi="Palatino Linotype"/>
          <w:i/>
        </w:rPr>
        <w:t>no he recibido respuesta, ni solicitud de prorroga</w:t>
      </w:r>
      <w:r w:rsidRPr="00D32644">
        <w:rPr>
          <w:rFonts w:ascii="Palatino Linotype" w:hAnsi="Palatino Linotype"/>
          <w:i/>
        </w:rPr>
        <w:t>.</w:t>
      </w:r>
      <w:r w:rsidRPr="00D32644">
        <w:rPr>
          <w:rFonts w:ascii="Palatino Linotype" w:hAnsi="Palatino Linotype" w:cs="Arial"/>
          <w:i/>
        </w:rPr>
        <w:t>” (sic)</w:t>
      </w:r>
    </w:p>
    <w:p w:rsidR="00C17C0A" w:rsidRPr="00D32644" w:rsidRDefault="00C17C0A" w:rsidP="00C17C0A">
      <w:pPr>
        <w:spacing w:after="0" w:line="360" w:lineRule="auto"/>
        <w:jc w:val="both"/>
        <w:rPr>
          <w:rFonts w:ascii="Palatino Linotype" w:hAnsi="Palatino Linotype"/>
          <w:sz w:val="23"/>
          <w:szCs w:val="23"/>
          <w:lang w:val="es-ES"/>
        </w:rPr>
      </w:pPr>
    </w:p>
    <w:p w:rsidR="001C3D2B" w:rsidRPr="00D32644" w:rsidRDefault="0074589E" w:rsidP="00AC6A83">
      <w:pPr>
        <w:spacing w:before="240" w:after="240" w:line="360" w:lineRule="auto"/>
        <w:jc w:val="both"/>
        <w:rPr>
          <w:rFonts w:ascii="Palatino Linotype" w:hAnsi="Palatino Linotype"/>
          <w:sz w:val="23"/>
          <w:szCs w:val="23"/>
        </w:rPr>
      </w:pPr>
      <w:r w:rsidRPr="00D32644">
        <w:rPr>
          <w:rFonts w:ascii="Palatino Linotype" w:hAnsi="Palatino Linotype"/>
          <w:sz w:val="23"/>
          <w:szCs w:val="23"/>
        </w:rPr>
        <w:t>Al respecto es importante mencionar que</w:t>
      </w:r>
      <w:r w:rsidR="001C3D2B" w:rsidRPr="00D32644">
        <w:rPr>
          <w:rFonts w:ascii="Palatino Linotype" w:hAnsi="Palatino Linotype"/>
          <w:sz w:val="23"/>
          <w:szCs w:val="23"/>
        </w:rPr>
        <w:t xml:space="preserve"> una vez que fue sustanciado el presente medio de impugnación, la Ponencia ponente emitió</w:t>
      </w:r>
      <w:r w:rsidRPr="00D32644">
        <w:rPr>
          <w:rFonts w:ascii="Palatino Linotype" w:hAnsi="Palatino Linotype"/>
          <w:sz w:val="23"/>
          <w:szCs w:val="23"/>
        </w:rPr>
        <w:t xml:space="preserve"> </w:t>
      </w:r>
      <w:r w:rsidR="001C3D2B" w:rsidRPr="00D32644">
        <w:rPr>
          <w:rFonts w:ascii="Palatino Linotype" w:hAnsi="Palatino Linotype"/>
          <w:sz w:val="23"/>
          <w:szCs w:val="23"/>
        </w:rPr>
        <w:t>resolución, misma que se encuentra sustentada en lo siguiente:</w:t>
      </w:r>
    </w:p>
    <w:p w:rsidR="001C3D2B" w:rsidRPr="00D32644" w:rsidRDefault="001C3D2B" w:rsidP="00AC6A83">
      <w:pPr>
        <w:pStyle w:val="Prrafodelista"/>
        <w:numPr>
          <w:ilvl w:val="0"/>
          <w:numId w:val="3"/>
        </w:numPr>
        <w:spacing w:line="360" w:lineRule="auto"/>
        <w:ind w:left="714" w:hanging="357"/>
        <w:contextualSpacing/>
        <w:jc w:val="both"/>
        <w:rPr>
          <w:rFonts w:ascii="Palatino Linotype" w:eastAsia="Calibri" w:hAnsi="Palatino Linotype" w:cs="Tahoma"/>
          <w:b/>
          <w:bCs/>
        </w:rPr>
      </w:pPr>
      <w:r w:rsidRPr="00D32644">
        <w:rPr>
          <w:rFonts w:ascii="Palatino Linotype" w:eastAsia="Calibri" w:hAnsi="Palatino Linotype" w:cs="Tahoma"/>
          <w:bCs/>
        </w:rPr>
        <w:t xml:space="preserve">Se advirtió que el Ayuntamiento de Ecatepec de Morelos no emitió respuesta, ni solicitó una prórroga para dar contestación a la solicitud de información, dentro de los plazos establecidos en el artículo 163 de la Ley de la materia; por lo que, resultó evidente que </w:t>
      </w:r>
      <w:r w:rsidRPr="00D32644">
        <w:rPr>
          <w:rFonts w:ascii="Palatino Linotype" w:eastAsia="Calibri" w:hAnsi="Palatino Linotype" w:cs="Tahoma"/>
          <w:b/>
          <w:bCs/>
        </w:rPr>
        <w:t xml:space="preserve">el agravio hecho valer por la Recurrente resulta fundado; </w:t>
      </w:r>
      <w:r w:rsidRPr="00D32644">
        <w:rPr>
          <w:rFonts w:ascii="Palatino Linotype" w:eastAsia="Calibri" w:hAnsi="Palatino Linotype" w:cs="Tahoma"/>
          <w:bCs/>
        </w:rPr>
        <w:t xml:space="preserve">por lo que, </w:t>
      </w:r>
      <w:r w:rsidR="00FA471C" w:rsidRPr="00D32644">
        <w:rPr>
          <w:rFonts w:ascii="Palatino Linotype" w:eastAsia="Calibri" w:hAnsi="Palatino Linotype" w:cs="Tahoma"/>
          <w:bCs/>
        </w:rPr>
        <w:t xml:space="preserve">se determinó </w:t>
      </w:r>
      <w:r w:rsidRPr="00D32644">
        <w:rPr>
          <w:rFonts w:ascii="Palatino Linotype" w:eastAsia="Calibri" w:hAnsi="Palatino Linotype" w:cs="Tahoma"/>
          <w:bCs/>
        </w:rPr>
        <w:t xml:space="preserve">procedente </w:t>
      </w:r>
      <w:r w:rsidRPr="00D32644">
        <w:rPr>
          <w:rFonts w:ascii="Palatino Linotype" w:eastAsia="Calibri" w:hAnsi="Palatino Linotype" w:cs="Tahoma"/>
          <w:b/>
          <w:bCs/>
        </w:rPr>
        <w:t>ORDENAR</w:t>
      </w:r>
      <w:r w:rsidRPr="00D32644">
        <w:rPr>
          <w:rFonts w:ascii="Palatino Linotype" w:eastAsia="Calibri" w:hAnsi="Palatino Linotype" w:cs="Tahoma"/>
          <w:bCs/>
        </w:rPr>
        <w:t xml:space="preserve"> al Sujeto Obligado, que emita respuesta al requerimiento de información.</w:t>
      </w:r>
    </w:p>
    <w:p w:rsidR="001C3D2B" w:rsidRPr="00D32644" w:rsidRDefault="001C3D2B" w:rsidP="00AC6A83">
      <w:pPr>
        <w:pStyle w:val="Prrafodelista"/>
        <w:numPr>
          <w:ilvl w:val="0"/>
          <w:numId w:val="3"/>
        </w:numPr>
        <w:spacing w:line="360" w:lineRule="auto"/>
        <w:ind w:left="714" w:hanging="357"/>
        <w:contextualSpacing/>
        <w:jc w:val="both"/>
        <w:rPr>
          <w:rFonts w:ascii="Palatino Linotype" w:eastAsia="Calibri" w:hAnsi="Palatino Linotype" w:cs="Tahoma"/>
          <w:b/>
          <w:bCs/>
        </w:rPr>
      </w:pPr>
      <w:r w:rsidRPr="00D32644">
        <w:rPr>
          <w:rFonts w:ascii="Palatino Linotype" w:eastAsia="Calibri" w:hAnsi="Palatino Linotype" w:cs="Tahoma"/>
          <w:bCs/>
        </w:rPr>
        <w:lastRenderedPageBreak/>
        <w:t xml:space="preserve">Además se analizó la normatividad aplicable, de la cual se </w:t>
      </w:r>
      <w:r w:rsidR="00FA471C" w:rsidRPr="00D32644">
        <w:rPr>
          <w:rFonts w:ascii="Palatino Linotype" w:eastAsia="Calibri" w:hAnsi="Palatino Linotype" w:cs="Tahoma"/>
          <w:bCs/>
        </w:rPr>
        <w:t xml:space="preserve">precisó </w:t>
      </w:r>
      <w:r w:rsidRPr="00D32644">
        <w:rPr>
          <w:rFonts w:ascii="Palatino Linotype" w:eastAsia="Calibri" w:hAnsi="Palatino Linotype" w:cs="Tahoma"/>
          <w:bCs/>
        </w:rPr>
        <w:t xml:space="preserve">que el </w:t>
      </w:r>
      <w:r w:rsidRPr="00D32644">
        <w:rPr>
          <w:rFonts w:ascii="Palatino Linotype" w:eastAsia="Calibri" w:hAnsi="Palatino Linotype" w:cs="Tahoma"/>
          <w:b/>
          <w:bCs/>
        </w:rPr>
        <w:t>Ayuntamiento de Ecatepec de Morelos</w:t>
      </w:r>
      <w:r w:rsidRPr="00D32644">
        <w:rPr>
          <w:rFonts w:ascii="Palatino Linotype" w:eastAsia="Calibri" w:hAnsi="Palatino Linotype" w:cs="Tahoma"/>
          <w:bCs/>
        </w:rPr>
        <w:t xml:space="preserve"> es competente para conocer de la información requerida, pues las licencias de funcionamiento son reguladas por la </w:t>
      </w:r>
      <w:r w:rsidRPr="00D32644">
        <w:rPr>
          <w:rFonts w:ascii="Palatino Linotype" w:eastAsia="Calibri" w:hAnsi="Palatino Linotype" w:cs="Tahoma"/>
          <w:b/>
          <w:bCs/>
        </w:rPr>
        <w:t>Dirección de Desarrollo Económico</w:t>
      </w:r>
      <w:r w:rsidRPr="00D32644">
        <w:rPr>
          <w:rFonts w:ascii="Palatino Linotype" w:eastAsia="Calibri" w:hAnsi="Palatino Linotype" w:cs="Tahoma"/>
          <w:bCs/>
        </w:rPr>
        <w:t>, que administra la Ventanilla Única y lleva a cabo la emisión de las licencias de funcionamiento, requeridas por las personas físicas o jurídico colectivas requirentes.</w:t>
      </w:r>
    </w:p>
    <w:p w:rsidR="001C3D2B" w:rsidRPr="00D32644" w:rsidRDefault="001C3D2B" w:rsidP="00AC6A83">
      <w:pPr>
        <w:pStyle w:val="Prrafodelista"/>
        <w:numPr>
          <w:ilvl w:val="0"/>
          <w:numId w:val="3"/>
        </w:numPr>
        <w:spacing w:line="360" w:lineRule="auto"/>
        <w:ind w:left="714" w:hanging="357"/>
        <w:contextualSpacing/>
        <w:jc w:val="both"/>
        <w:rPr>
          <w:rFonts w:ascii="Palatino Linotype" w:eastAsia="Calibri" w:hAnsi="Palatino Linotype" w:cs="Tahoma"/>
          <w:b/>
          <w:bCs/>
        </w:rPr>
      </w:pPr>
      <w:r w:rsidRPr="00D32644">
        <w:rPr>
          <w:rFonts w:ascii="Palatino Linotype" w:eastAsia="Calibri" w:hAnsi="Palatino Linotype" w:cs="Tahoma"/>
          <w:bCs/>
        </w:rPr>
        <w:t xml:space="preserve">De tal circunstancia, se considera que el Ayuntamiento de Ecatepec de Morelos, para dar respuesta a la solicitud de información, debe realizar una búsqueda exhaustiva y razonable de la licencia solicitada por la ahora Recurrente, de conformidad con el artículo 162 de la Ley de Transparencia y Acceso a la Información Pública del Estado de México y Municipios. </w:t>
      </w:r>
    </w:p>
    <w:p w:rsidR="00AC6A83" w:rsidRPr="00D32644" w:rsidRDefault="001C3D2B" w:rsidP="00AC6A83">
      <w:pPr>
        <w:pStyle w:val="Prrafodelista"/>
        <w:numPr>
          <w:ilvl w:val="0"/>
          <w:numId w:val="3"/>
        </w:numPr>
        <w:spacing w:line="360" w:lineRule="auto"/>
        <w:ind w:left="714" w:hanging="357"/>
        <w:contextualSpacing/>
        <w:jc w:val="both"/>
        <w:rPr>
          <w:rFonts w:ascii="Palatino Linotype" w:eastAsia="Calibri" w:hAnsi="Palatino Linotype" w:cs="Tahoma"/>
          <w:b/>
          <w:bCs/>
        </w:rPr>
      </w:pPr>
      <w:r w:rsidRPr="00D32644">
        <w:rPr>
          <w:rFonts w:ascii="Palatino Linotype" w:eastAsia="Calibri" w:hAnsi="Palatino Linotype" w:cs="Tahoma"/>
          <w:bCs/>
        </w:rPr>
        <w:t xml:space="preserve">Cabe recordar que las licencias de funcionamiento, conforme al Reglamento de Licencias del Ayuntamiento de Ecatepec de Morelos, cuenta con diversos datos, entre los que se encuentran el giro, domicilio del establecimiento, horario, fecha de expedición, firma de la autoridad emisora, número de oficio mediante el cual se expidió y la vigencia, los cuales se consideran datos de carácter público, al no ser datos susceptibles a clasificarse como confidenciales, en términos del artículo 143 de la Ley de la materia, toda vez que los mismos están directamente relacionados con la emisión del permiso y el ejercicio de atribuciones legales; sin embargo, dicho documento contiene otros, </w:t>
      </w:r>
      <w:r w:rsidRPr="00D32644">
        <w:rPr>
          <w:rFonts w:ascii="Palatino Linotype" w:eastAsia="Calibri" w:hAnsi="Palatino Linotype" w:cs="Tahoma"/>
          <w:b/>
          <w:bCs/>
        </w:rPr>
        <w:t>tales como el nombre del titular de la licencia, el Registro Federal de Contribuyentes y la clave catastral del inmueble</w:t>
      </w:r>
      <w:r w:rsidR="00FA471C" w:rsidRPr="00D32644">
        <w:rPr>
          <w:rFonts w:ascii="Palatino Linotype" w:eastAsia="Calibri" w:hAnsi="Palatino Linotype" w:cs="Tahoma"/>
          <w:b/>
          <w:bCs/>
        </w:rPr>
        <w:t xml:space="preserve">, </w:t>
      </w:r>
      <w:r w:rsidR="00FA471C" w:rsidRPr="00D32644">
        <w:rPr>
          <w:rFonts w:ascii="Palatino Linotype" w:eastAsia="Calibri" w:hAnsi="Palatino Linotype" w:cs="Tahoma"/>
          <w:bCs/>
        </w:rPr>
        <w:t xml:space="preserve"> en este sentido es de suma importancia referir que el Ponente de la página 18 a la 30 de la resolución materia del presente voto realizó diversas manifestaciones para determinar si los </w:t>
      </w:r>
      <w:r w:rsidR="00FA471C" w:rsidRPr="00D32644">
        <w:rPr>
          <w:rFonts w:ascii="Palatino Linotype" w:eastAsia="Calibri" w:hAnsi="Palatino Linotype" w:cs="Tahoma"/>
          <w:bCs/>
        </w:rPr>
        <w:lastRenderedPageBreak/>
        <w:t xml:space="preserve">datos referidos con antelación son susceptibles de ser clasificados como confidenciales, o en su caso, es procedente entregar </w:t>
      </w:r>
      <w:r w:rsidR="00AC6A83" w:rsidRPr="00D32644">
        <w:rPr>
          <w:rFonts w:ascii="Palatino Linotype" w:eastAsia="Calibri" w:hAnsi="Palatino Linotype" w:cs="Tahoma"/>
          <w:bCs/>
        </w:rPr>
        <w:t>el documento dejando visibles los mismos, concluyendo que únicamente procede la clasificación del Registro Federal de Contribuyentes de personas físicas, localizado en las licencias de funcionamiento, por ser información confidencial, en términos de la Ley de la materia, es decir, que el nombre del titular de la licencia y la clave catastral del inmueble deben ser públicos, determinación con la cual no estoy de acuerdo, como a continuación se hará notar.</w:t>
      </w:r>
    </w:p>
    <w:p w:rsidR="00FA471C" w:rsidRPr="00D32644" w:rsidRDefault="00FA471C" w:rsidP="00FA471C">
      <w:pPr>
        <w:spacing w:line="276" w:lineRule="auto"/>
        <w:ind w:right="-93"/>
        <w:contextualSpacing/>
        <w:jc w:val="both"/>
        <w:rPr>
          <w:rFonts w:ascii="Palatino Linotype" w:eastAsia="Calibri" w:hAnsi="Palatino Linotype" w:cs="Tahoma"/>
          <w:b/>
          <w:bCs/>
        </w:rPr>
      </w:pPr>
    </w:p>
    <w:p w:rsidR="00764C4F" w:rsidRPr="00D32644" w:rsidRDefault="00AC6A83" w:rsidP="00764C4F">
      <w:pPr>
        <w:spacing w:before="240" w:after="240" w:line="360" w:lineRule="auto"/>
        <w:contextualSpacing/>
        <w:jc w:val="both"/>
        <w:rPr>
          <w:rFonts w:ascii="Palatino Linotype" w:eastAsia="Calibri" w:hAnsi="Palatino Linotype" w:cs="Tahoma"/>
          <w:bCs/>
        </w:rPr>
      </w:pPr>
      <w:r w:rsidRPr="00D32644">
        <w:rPr>
          <w:rFonts w:ascii="Palatino Linotype" w:eastAsia="Calibri" w:hAnsi="Palatino Linotype" w:cs="Tahoma"/>
          <w:bCs/>
          <w:sz w:val="23"/>
          <w:szCs w:val="23"/>
        </w:rPr>
        <w:t>Por lo que se refiere a la clave catastral, en las páginas 19 y 20 estableció en térmi</w:t>
      </w:r>
      <w:r w:rsidR="00764C4F" w:rsidRPr="00D32644">
        <w:rPr>
          <w:rFonts w:ascii="Palatino Linotype" w:eastAsia="Calibri" w:hAnsi="Palatino Linotype" w:cs="Tahoma"/>
          <w:bCs/>
          <w:sz w:val="23"/>
          <w:szCs w:val="23"/>
        </w:rPr>
        <w:t>nos generales que d</w:t>
      </w:r>
      <w:r w:rsidR="001C3D2B" w:rsidRPr="00D32644">
        <w:rPr>
          <w:rFonts w:ascii="Palatino Linotype" w:eastAsia="Calibri" w:hAnsi="Palatino Linotype" w:cs="Tahoma"/>
          <w:bCs/>
        </w:rPr>
        <w:t xml:space="preserve">e conformidad con el artículo 179, fracción I, del Código Financiero del Estado de México y Municipios, </w:t>
      </w:r>
      <w:r w:rsidR="001C3D2B" w:rsidRPr="00D32644">
        <w:rPr>
          <w:rFonts w:ascii="Palatino Linotype" w:eastAsia="Calibri" w:hAnsi="Palatino Linotype" w:cs="Tahoma"/>
          <w:b/>
          <w:bCs/>
          <w:u w:val="single"/>
        </w:rPr>
        <w:t>la Clave catastral</w:t>
      </w:r>
      <w:r w:rsidR="001C3D2B" w:rsidRPr="00D32644">
        <w:rPr>
          <w:rFonts w:ascii="Palatino Linotype" w:eastAsia="Calibri" w:hAnsi="Palatino Linotype" w:cs="Tahoma"/>
          <w:bCs/>
        </w:rPr>
        <w:t xml:space="preserve">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w:t>
      </w:r>
      <w:r w:rsidR="00764C4F" w:rsidRPr="00D32644">
        <w:rPr>
          <w:rFonts w:ascii="Palatino Linotype" w:eastAsia="Calibri" w:hAnsi="Palatino Linotype" w:cs="Tahoma"/>
          <w:bCs/>
        </w:rPr>
        <w:t xml:space="preserve">ican el número de lote o predio, concluyendo que </w:t>
      </w:r>
      <w:r w:rsidR="001C3D2B" w:rsidRPr="00D32644">
        <w:rPr>
          <w:rFonts w:ascii="Palatino Linotype" w:eastAsia="Calibri" w:hAnsi="Palatino Linotype" w:cs="Tahoma"/>
          <w:bCs/>
        </w:rPr>
        <w:t xml:space="preserve">el dato en comento, </w:t>
      </w:r>
      <w:r w:rsidR="001C3D2B" w:rsidRPr="00D32644">
        <w:rPr>
          <w:rFonts w:ascii="Palatino Linotype" w:eastAsia="Calibri" w:hAnsi="Palatino Linotype" w:cs="Tahoma"/>
          <w:bCs/>
          <w:u w:val="single"/>
        </w:rPr>
        <w:t>hace referencia a un predio determinado</w:t>
      </w:r>
      <w:r w:rsidR="001C3D2B" w:rsidRPr="00D32644">
        <w:rPr>
          <w:rFonts w:ascii="Palatino Linotype" w:eastAsia="Calibri" w:hAnsi="Palatino Linotype" w:cs="Tahoma"/>
          <w:bCs/>
        </w:rPr>
        <w:t xml:space="preserve">, </w:t>
      </w:r>
      <w:r w:rsidR="00764C4F" w:rsidRPr="00D32644">
        <w:rPr>
          <w:rFonts w:ascii="Palatino Linotype" w:eastAsia="Calibri" w:hAnsi="Palatino Linotype" w:cs="Tahoma"/>
          <w:bCs/>
        </w:rPr>
        <w:t xml:space="preserve">identificando </w:t>
      </w:r>
      <w:r w:rsidR="001C3D2B" w:rsidRPr="00D32644">
        <w:rPr>
          <w:rFonts w:ascii="Palatino Linotype" w:eastAsia="Calibri" w:hAnsi="Palatino Linotype" w:cs="Tahoma"/>
          <w:b/>
          <w:bCs/>
          <w:u w:val="single"/>
        </w:rPr>
        <w:t>el predio donde se realiza una actividad económica</w:t>
      </w:r>
      <w:r w:rsidR="001C3D2B" w:rsidRPr="00D32644">
        <w:rPr>
          <w:rFonts w:ascii="Palatino Linotype" w:eastAsia="Calibri" w:hAnsi="Palatino Linotype" w:cs="Tahoma"/>
          <w:bCs/>
        </w:rPr>
        <w:t xml:space="preserve"> regulada por el Municipio, respecto del cual se expidió una licencia de funcionamiento</w:t>
      </w:r>
      <w:r w:rsidR="00764C4F" w:rsidRPr="00D32644">
        <w:rPr>
          <w:rFonts w:ascii="Palatino Linotype" w:eastAsia="Calibri" w:hAnsi="Palatino Linotype" w:cs="Tahoma"/>
          <w:bCs/>
        </w:rPr>
        <w:t xml:space="preserve">, argumento con el cual se coincide, sin embargo no pasa desapercibido para el suscrito que </w:t>
      </w:r>
      <w:r w:rsidR="00C22B26" w:rsidRPr="00D32644">
        <w:rPr>
          <w:rFonts w:ascii="Palatino Linotype" w:eastAsia="Calibri" w:hAnsi="Palatino Linotype" w:cs="Tahoma"/>
          <w:bCs/>
        </w:rPr>
        <w:t>el Comisionado Ponente refirió:</w:t>
      </w:r>
    </w:p>
    <w:p w:rsidR="00C22B26" w:rsidRPr="00D32644" w:rsidRDefault="00C22B26" w:rsidP="00764C4F">
      <w:pPr>
        <w:spacing w:before="240" w:after="240" w:line="360" w:lineRule="auto"/>
        <w:contextualSpacing/>
        <w:jc w:val="both"/>
        <w:rPr>
          <w:rFonts w:ascii="Palatino Linotype" w:eastAsia="Calibri" w:hAnsi="Palatino Linotype" w:cs="Tahoma"/>
          <w:bCs/>
        </w:rPr>
      </w:pPr>
    </w:p>
    <w:p w:rsidR="00C22B26" w:rsidRPr="00D32644" w:rsidRDefault="00C22B26" w:rsidP="00C22B26">
      <w:pPr>
        <w:spacing w:after="0" w:line="240" w:lineRule="auto"/>
        <w:ind w:left="851" w:right="851"/>
        <w:jc w:val="both"/>
        <w:rPr>
          <w:rFonts w:ascii="Palatino Linotype" w:eastAsia="Calibri" w:hAnsi="Palatino Linotype" w:cs="Tahoma"/>
          <w:bCs/>
          <w:i/>
        </w:rPr>
      </w:pPr>
      <w:r w:rsidRPr="00D32644">
        <w:rPr>
          <w:rFonts w:ascii="Palatino Linotype" w:eastAsia="Calibri" w:hAnsi="Palatino Linotype" w:cs="Tahoma"/>
          <w:bCs/>
          <w:i/>
        </w:rPr>
        <w:t xml:space="preserve">“En ese contexto, </w:t>
      </w:r>
      <w:r w:rsidRPr="00D32644">
        <w:rPr>
          <w:rFonts w:ascii="Palatino Linotype" w:eastAsia="Calibri" w:hAnsi="Palatino Linotype" w:cs="Tahoma"/>
          <w:b/>
          <w:bCs/>
          <w:i/>
          <w:u w:val="single"/>
        </w:rPr>
        <w:t>no es dable afirmar que necesariamente la entrega de la clave catastral da cuenta del patrimonio de una persona específica</w:t>
      </w:r>
      <w:r w:rsidRPr="00D32644">
        <w:rPr>
          <w:rFonts w:ascii="Palatino Linotype" w:eastAsia="Calibri" w:hAnsi="Palatino Linotype" w:cs="Tahoma"/>
          <w:bCs/>
          <w:i/>
        </w:rPr>
        <w:t xml:space="preserve">; esto es, la expedición de la licencia de funcionamiento, de ninguna manera está vinculada con la propiedad del inmueble autorizado, </w:t>
      </w:r>
      <w:r w:rsidRPr="00D32644">
        <w:rPr>
          <w:rFonts w:ascii="Palatino Linotype" w:eastAsia="Calibri" w:hAnsi="Palatino Linotype" w:cs="Tahoma"/>
          <w:b/>
          <w:bCs/>
          <w:i/>
          <w:u w:val="single"/>
        </w:rPr>
        <w:t xml:space="preserve">por lo que hacer pública la clave </w:t>
      </w:r>
      <w:r w:rsidRPr="00D32644">
        <w:rPr>
          <w:rFonts w:ascii="Palatino Linotype" w:eastAsia="Calibri" w:hAnsi="Palatino Linotype" w:cs="Tahoma"/>
          <w:b/>
          <w:bCs/>
          <w:i/>
          <w:u w:val="single"/>
        </w:rPr>
        <w:lastRenderedPageBreak/>
        <w:t>catastral que únicamente permite verificar la ubicación del inmueble, aporta elementos sobre el patrimonio de la persona a quien se haya expedido la licencia</w:t>
      </w:r>
      <w:r w:rsidRPr="00D32644">
        <w:rPr>
          <w:rFonts w:ascii="Palatino Linotype" w:eastAsia="Calibri" w:hAnsi="Palatino Linotype" w:cs="Tahoma"/>
          <w:bCs/>
          <w:i/>
        </w:rPr>
        <w:t>.”</w:t>
      </w:r>
    </w:p>
    <w:p w:rsidR="00C22B26" w:rsidRPr="00D32644" w:rsidRDefault="00C22B26" w:rsidP="00C22B26">
      <w:pPr>
        <w:spacing w:after="0" w:line="240" w:lineRule="auto"/>
        <w:ind w:left="851" w:right="851"/>
        <w:jc w:val="both"/>
        <w:rPr>
          <w:rFonts w:ascii="Palatino Linotype" w:eastAsia="Calibri" w:hAnsi="Palatino Linotype" w:cs="Tahoma"/>
          <w:bCs/>
          <w:i/>
        </w:rPr>
      </w:pPr>
    </w:p>
    <w:p w:rsidR="00C22B26" w:rsidRPr="00D32644" w:rsidRDefault="00C22B26" w:rsidP="00C22B26">
      <w:pPr>
        <w:spacing w:after="0" w:line="240" w:lineRule="auto"/>
        <w:ind w:left="851" w:right="851"/>
        <w:jc w:val="both"/>
        <w:rPr>
          <w:rFonts w:ascii="Palatino Linotype" w:eastAsia="Calibri" w:hAnsi="Palatino Linotype" w:cs="Tahoma"/>
          <w:bCs/>
          <w:i/>
        </w:rPr>
      </w:pPr>
      <w:r w:rsidRPr="00D32644">
        <w:rPr>
          <w:rFonts w:ascii="Palatino Linotype" w:eastAsia="Calibri" w:hAnsi="Palatino Linotype" w:cs="Tahoma"/>
          <w:bCs/>
          <w:i/>
        </w:rPr>
        <w:t>Énfasis añadido</w:t>
      </w:r>
    </w:p>
    <w:p w:rsidR="00C22B26" w:rsidRPr="00D32644" w:rsidRDefault="00C22B26" w:rsidP="00764C4F">
      <w:pPr>
        <w:spacing w:before="240" w:after="240" w:line="360" w:lineRule="auto"/>
        <w:contextualSpacing/>
        <w:jc w:val="both"/>
        <w:rPr>
          <w:rFonts w:ascii="Palatino Linotype" w:eastAsia="Calibri" w:hAnsi="Palatino Linotype" w:cs="Tahoma"/>
          <w:bCs/>
        </w:rPr>
      </w:pPr>
    </w:p>
    <w:p w:rsidR="00984E46" w:rsidRPr="00D32644" w:rsidRDefault="00993845" w:rsidP="00764C4F">
      <w:pPr>
        <w:spacing w:before="240" w:after="240" w:line="360" w:lineRule="auto"/>
        <w:contextualSpacing/>
        <w:jc w:val="both"/>
        <w:rPr>
          <w:rFonts w:ascii="Palatino Linotype" w:eastAsia="Calibri" w:hAnsi="Palatino Linotype" w:cs="Tahoma"/>
          <w:bCs/>
          <w:sz w:val="24"/>
          <w:szCs w:val="24"/>
        </w:rPr>
      </w:pPr>
      <w:r w:rsidRPr="00D32644">
        <w:rPr>
          <w:rFonts w:ascii="Palatino Linotype" w:eastAsia="Calibri" w:hAnsi="Palatino Linotype" w:cs="Tahoma"/>
          <w:bCs/>
          <w:sz w:val="24"/>
          <w:szCs w:val="24"/>
        </w:rPr>
        <w:t>Lo anterior, al ser analizado detenidamente resulta contradictorio, causando incertidumbre jurídica, se afirma lo anterior, en razón de que por una parte precisa que el entregar la clave catastral no da cuenta del patrimonio de una persona, sin embargo más adelante en el mismo párrafo refiere que al hacer pública la clave catastral aporta elementos sobre el patrimonio de la persona a favor de quien se expidió una licencia de funcionamiento</w:t>
      </w:r>
      <w:r w:rsidR="00984E46" w:rsidRPr="00D32644">
        <w:rPr>
          <w:rFonts w:ascii="Palatino Linotype" w:eastAsia="Calibri" w:hAnsi="Palatino Linotype" w:cs="Tahoma"/>
          <w:bCs/>
          <w:sz w:val="24"/>
          <w:szCs w:val="24"/>
        </w:rPr>
        <w:t>.</w:t>
      </w:r>
    </w:p>
    <w:p w:rsidR="00984E46" w:rsidRPr="00D32644" w:rsidRDefault="00984E46" w:rsidP="00764C4F">
      <w:pPr>
        <w:spacing w:before="240" w:after="240" w:line="360" w:lineRule="auto"/>
        <w:contextualSpacing/>
        <w:jc w:val="both"/>
        <w:rPr>
          <w:rFonts w:ascii="Palatino Linotype" w:eastAsia="Calibri" w:hAnsi="Palatino Linotype" w:cs="Tahoma"/>
          <w:bCs/>
          <w:sz w:val="24"/>
          <w:szCs w:val="24"/>
        </w:rPr>
      </w:pPr>
      <w:r w:rsidRPr="00D32644">
        <w:rPr>
          <w:rFonts w:ascii="Palatino Linotype" w:eastAsia="Calibri" w:hAnsi="Palatino Linotype" w:cs="Tahoma"/>
          <w:bCs/>
          <w:sz w:val="24"/>
          <w:szCs w:val="24"/>
        </w:rPr>
        <w:t>Sobre este punto en particular, considero pertinente precisar que se entiende por catastro, padrón catastral y actividad catastral.</w:t>
      </w:r>
    </w:p>
    <w:p w:rsidR="00984E46" w:rsidRPr="00D32644" w:rsidRDefault="00984E46" w:rsidP="00984E46">
      <w:pPr>
        <w:pStyle w:val="Prrafodelista"/>
        <w:numPr>
          <w:ilvl w:val="0"/>
          <w:numId w:val="4"/>
        </w:numPr>
        <w:spacing w:before="240" w:after="240" w:line="360" w:lineRule="auto"/>
        <w:contextualSpacing/>
        <w:jc w:val="both"/>
        <w:rPr>
          <w:rFonts w:ascii="Palatino Linotype" w:eastAsia="Calibri" w:hAnsi="Palatino Linotype" w:cs="Tahoma"/>
          <w:bCs/>
          <w:sz w:val="24"/>
          <w:szCs w:val="24"/>
        </w:rPr>
      </w:pPr>
      <w:r w:rsidRPr="00D32644">
        <w:rPr>
          <w:rFonts w:ascii="Palatino Linotype" w:eastAsia="Calibri" w:hAnsi="Palatino Linotype" w:cs="Tahoma"/>
          <w:bCs/>
          <w:sz w:val="24"/>
          <w:szCs w:val="24"/>
        </w:rPr>
        <w:t>Catastro es el sistema de información territorial, cuyo propósito es integrar, conservar y mantener actualizado el padrón catastral del Estado.</w:t>
      </w:r>
    </w:p>
    <w:p w:rsidR="00984E46" w:rsidRPr="00D32644" w:rsidRDefault="00984E46" w:rsidP="00984E46">
      <w:pPr>
        <w:pStyle w:val="Prrafodelista"/>
        <w:numPr>
          <w:ilvl w:val="0"/>
          <w:numId w:val="4"/>
        </w:numPr>
        <w:spacing w:before="240" w:after="240" w:line="360" w:lineRule="auto"/>
        <w:contextualSpacing/>
        <w:jc w:val="both"/>
        <w:rPr>
          <w:rFonts w:ascii="Palatino Linotype" w:eastAsia="Calibri" w:hAnsi="Palatino Linotype" w:cs="Tahoma"/>
          <w:bCs/>
          <w:sz w:val="24"/>
          <w:szCs w:val="24"/>
        </w:rPr>
      </w:pPr>
      <w:r w:rsidRPr="00D32644">
        <w:rPr>
          <w:rFonts w:ascii="Palatino Linotype" w:eastAsia="Calibri" w:hAnsi="Palatino Linotype" w:cs="Tahoma"/>
          <w:bCs/>
          <w:sz w:val="24"/>
          <w:szCs w:val="24"/>
        </w:rPr>
        <w:t>Padrón catastral es el inventario analítico que contiene los datos técnicos y administrativos de los inmuebles y está conformado por el conjunto de registros geográficos, gráficos, estadísticos, alfanuméricos y elementos y características resultantes de las actividades catastrales.</w:t>
      </w:r>
    </w:p>
    <w:p w:rsidR="00993845" w:rsidRPr="00D32644" w:rsidRDefault="00984E46" w:rsidP="00764C4F">
      <w:pPr>
        <w:pStyle w:val="Prrafodelista"/>
        <w:numPr>
          <w:ilvl w:val="0"/>
          <w:numId w:val="4"/>
        </w:numPr>
        <w:spacing w:before="240" w:after="240" w:line="360" w:lineRule="auto"/>
        <w:contextualSpacing/>
        <w:jc w:val="both"/>
        <w:rPr>
          <w:rFonts w:ascii="Palatino Linotype" w:eastAsia="Calibri" w:hAnsi="Palatino Linotype" w:cs="Tahoma"/>
          <w:bCs/>
          <w:sz w:val="24"/>
          <w:szCs w:val="24"/>
        </w:rPr>
      </w:pPr>
      <w:r w:rsidRPr="00D32644">
        <w:rPr>
          <w:rFonts w:ascii="Palatino Linotype" w:eastAsia="Calibri" w:hAnsi="Palatino Linotype" w:cs="Tahoma"/>
          <w:bCs/>
          <w:sz w:val="24"/>
          <w:szCs w:val="24"/>
        </w:rPr>
        <w:t xml:space="preserve">Actividad catastral es el conjunto de acciones de identificación, inscripción, control y valuación, que permiten integrar, conservar y mantener actualizado el inventario analítico con las características cualitativas y cuantitativas de los </w:t>
      </w:r>
      <w:r w:rsidRPr="00D32644">
        <w:rPr>
          <w:rFonts w:ascii="Palatino Linotype" w:eastAsia="Calibri" w:hAnsi="Palatino Linotype" w:cs="Tahoma"/>
          <w:bCs/>
          <w:sz w:val="24"/>
          <w:szCs w:val="24"/>
        </w:rPr>
        <w:lastRenderedPageBreak/>
        <w:t>inmuebles inscritos en el padrón catastral del Estado, realizadas con apego al Título Quinto del Código Financiero, su reglamento, el Manual Catastral y demás disposiciones aplicables en la materia.</w:t>
      </w:r>
    </w:p>
    <w:p w:rsidR="006529DA" w:rsidRPr="00D32644" w:rsidRDefault="006529DA" w:rsidP="00166A3C">
      <w:pPr>
        <w:spacing w:before="240" w:after="240" w:line="360" w:lineRule="auto"/>
        <w:contextualSpacing/>
        <w:jc w:val="both"/>
        <w:rPr>
          <w:rFonts w:ascii="Palatino Linotype" w:eastAsia="Calibri" w:hAnsi="Palatino Linotype" w:cs="Tahoma"/>
          <w:bCs/>
          <w:sz w:val="24"/>
          <w:szCs w:val="24"/>
        </w:rPr>
      </w:pPr>
      <w:r w:rsidRPr="00D32644">
        <w:rPr>
          <w:rFonts w:ascii="Palatino Linotype" w:eastAsia="Calibri" w:hAnsi="Palatino Linotype" w:cs="Tahoma"/>
          <w:bCs/>
          <w:sz w:val="24"/>
          <w:szCs w:val="24"/>
        </w:rPr>
        <w:t>En este sentido, cabe agregar que l</w:t>
      </w:r>
      <w:r w:rsidR="00993845" w:rsidRPr="00D32644">
        <w:rPr>
          <w:rFonts w:ascii="Palatino Linotype" w:eastAsia="Calibri" w:hAnsi="Palatino Linotype" w:cs="Tahoma"/>
          <w:bCs/>
          <w:sz w:val="24"/>
          <w:szCs w:val="24"/>
        </w:rPr>
        <w:t xml:space="preserve">os propietarios o poseedores de inmuebles, independientemente del régimen jurídico de propiedad, ubicados en territorio del Estado, están obligados a inscribirlos ante el catastro del Ayuntamiento, </w:t>
      </w:r>
      <w:r w:rsidR="00993845" w:rsidRPr="00D32644">
        <w:rPr>
          <w:rFonts w:ascii="Palatino Linotype" w:eastAsia="Calibri" w:hAnsi="Palatino Linotype" w:cs="Tahoma"/>
          <w:b/>
          <w:bCs/>
          <w:sz w:val="24"/>
          <w:szCs w:val="24"/>
          <w:u w:val="single"/>
        </w:rPr>
        <w:t>mediante manifestación catastral</w:t>
      </w:r>
      <w:r w:rsidR="00993845" w:rsidRPr="00D32644">
        <w:rPr>
          <w:rFonts w:ascii="Palatino Linotype" w:eastAsia="Calibri" w:hAnsi="Palatino Linotype" w:cs="Tahoma"/>
          <w:bCs/>
          <w:sz w:val="24"/>
          <w:szCs w:val="24"/>
        </w:rPr>
        <w:t xml:space="preserve"> que presenten de acuerdo a lo dispuesto en el Re</w:t>
      </w:r>
      <w:r w:rsidRPr="00D32644">
        <w:rPr>
          <w:rFonts w:ascii="Palatino Linotype" w:eastAsia="Calibri" w:hAnsi="Palatino Linotype" w:cs="Tahoma"/>
          <w:bCs/>
          <w:sz w:val="24"/>
          <w:szCs w:val="24"/>
        </w:rPr>
        <w:t xml:space="preserve">glamento del </w:t>
      </w:r>
      <w:r w:rsidR="00993845" w:rsidRPr="00D32644">
        <w:rPr>
          <w:rFonts w:ascii="Palatino Linotype" w:eastAsia="Calibri" w:hAnsi="Palatino Linotype" w:cs="Tahoma"/>
          <w:bCs/>
          <w:sz w:val="24"/>
          <w:szCs w:val="24"/>
        </w:rPr>
        <w:t>Título</w:t>
      </w:r>
      <w:r w:rsidRPr="00D32644">
        <w:rPr>
          <w:rFonts w:ascii="Palatino Linotype" w:eastAsia="Calibri" w:hAnsi="Palatino Linotype" w:cs="Tahoma"/>
          <w:bCs/>
          <w:sz w:val="24"/>
          <w:szCs w:val="24"/>
        </w:rPr>
        <w:t xml:space="preserve"> Quinto del Código Financiero</w:t>
      </w:r>
      <w:r w:rsidR="00993845" w:rsidRPr="00D32644">
        <w:rPr>
          <w:rFonts w:ascii="Palatino Linotype" w:eastAsia="Calibri" w:hAnsi="Palatino Linotype" w:cs="Tahoma"/>
          <w:bCs/>
          <w:sz w:val="24"/>
          <w:szCs w:val="24"/>
        </w:rPr>
        <w:t xml:space="preserve"> y al procedimiento establecido en el Manual Catastral, en los formatos autorizados por el IGECEM, </w:t>
      </w:r>
      <w:r w:rsidR="00993845" w:rsidRPr="00D32644">
        <w:rPr>
          <w:rFonts w:ascii="Palatino Linotype" w:eastAsia="Calibri" w:hAnsi="Palatino Linotype" w:cs="Tahoma"/>
          <w:b/>
          <w:bCs/>
          <w:sz w:val="24"/>
          <w:szCs w:val="24"/>
          <w:u w:val="single"/>
        </w:rPr>
        <w:t>precisando las superficies del terreno y de la construcción, su ubicación, y uso de suelo</w:t>
      </w:r>
      <w:r w:rsidR="00993845" w:rsidRPr="00D32644">
        <w:rPr>
          <w:rFonts w:ascii="Palatino Linotype" w:eastAsia="Calibri" w:hAnsi="Palatino Linotype" w:cs="Tahoma"/>
          <w:bCs/>
          <w:sz w:val="24"/>
          <w:szCs w:val="24"/>
        </w:rPr>
        <w:t>, si es a título de propietario o poseedor y demás datos solicitados, exhibiendo la documentació</w:t>
      </w:r>
      <w:r w:rsidRPr="00D32644">
        <w:rPr>
          <w:rFonts w:ascii="Palatino Linotype" w:eastAsia="Calibri" w:hAnsi="Palatino Linotype" w:cs="Tahoma"/>
          <w:bCs/>
          <w:sz w:val="24"/>
          <w:szCs w:val="24"/>
        </w:rPr>
        <w:t xml:space="preserve">n requerida para estos efectos, para el caso de que una vez que </w:t>
      </w:r>
      <w:r w:rsidR="00993845" w:rsidRPr="00D32644">
        <w:rPr>
          <w:rFonts w:ascii="Palatino Linotype" w:eastAsia="Calibri" w:hAnsi="Palatino Linotype" w:cs="Tahoma"/>
          <w:bCs/>
          <w:sz w:val="24"/>
          <w:szCs w:val="24"/>
        </w:rPr>
        <w:t>se modifique la superficie de terreno o de construcción, cualquiera que sea la causa, los propietarios o poseedores de esos inmuebles deberán declarar ante la autoridad catastral municipal dichas modificaciones, mediante manifestación catastral que presente</w:t>
      </w:r>
      <w:r w:rsidRPr="00D32644">
        <w:rPr>
          <w:rFonts w:ascii="Palatino Linotype" w:eastAsia="Calibri" w:hAnsi="Palatino Linotype" w:cs="Tahoma"/>
          <w:bCs/>
          <w:sz w:val="24"/>
          <w:szCs w:val="24"/>
        </w:rPr>
        <w:t>n en los formatos autorizados, del mismo modo c</w:t>
      </w:r>
      <w:r w:rsidR="00993845" w:rsidRPr="00D32644">
        <w:rPr>
          <w:rFonts w:ascii="Palatino Linotype" w:eastAsia="Calibri" w:hAnsi="Palatino Linotype" w:cs="Tahoma"/>
          <w:bCs/>
          <w:sz w:val="24"/>
          <w:szCs w:val="24"/>
        </w:rPr>
        <w:t xml:space="preserve">uando se fusione, subdivida, lotifique, relotifique, o se produzca una lotificación en condominio o conjunto urbano de un inmueble, mediante autorización que emita la autoridad competente, </w:t>
      </w:r>
      <w:r w:rsidRPr="00D32644">
        <w:rPr>
          <w:rFonts w:ascii="Palatino Linotype" w:eastAsia="Calibri" w:hAnsi="Palatino Linotype" w:cs="Tahoma"/>
          <w:b/>
          <w:bCs/>
          <w:sz w:val="24"/>
          <w:szCs w:val="24"/>
          <w:u w:val="single"/>
        </w:rPr>
        <w:t xml:space="preserve">es necesario actualizar los datos técnicos, administrativos y el valor en el padrón catastral municipal </w:t>
      </w:r>
      <w:r w:rsidR="00993845" w:rsidRPr="00D32644">
        <w:rPr>
          <w:rFonts w:ascii="Palatino Linotype" w:eastAsia="Calibri" w:hAnsi="Palatino Linotype" w:cs="Tahoma"/>
          <w:b/>
          <w:bCs/>
          <w:sz w:val="24"/>
          <w:szCs w:val="24"/>
          <w:u w:val="single"/>
        </w:rPr>
        <w:t>y en su caso, asignar claves e inscribirlos</w:t>
      </w:r>
      <w:r w:rsidR="00993845" w:rsidRPr="00D32644">
        <w:rPr>
          <w:rFonts w:ascii="Palatino Linotype" w:eastAsia="Calibri" w:hAnsi="Palatino Linotype" w:cs="Tahoma"/>
          <w:bCs/>
          <w:sz w:val="24"/>
          <w:szCs w:val="24"/>
        </w:rPr>
        <w:t xml:space="preserve">; para tal efecto, los propietarios deberán </w:t>
      </w:r>
      <w:r w:rsidR="00993845" w:rsidRPr="00D32644">
        <w:rPr>
          <w:rFonts w:ascii="Palatino Linotype" w:eastAsia="Calibri" w:hAnsi="Palatino Linotype" w:cs="Tahoma"/>
          <w:bCs/>
          <w:sz w:val="24"/>
          <w:szCs w:val="24"/>
        </w:rPr>
        <w:lastRenderedPageBreak/>
        <w:t>declarar ante el Ayuntamiento, las modificaciones generadas, m</w:t>
      </w:r>
      <w:r w:rsidRPr="00D32644">
        <w:rPr>
          <w:rFonts w:ascii="Palatino Linotype" w:eastAsia="Calibri" w:hAnsi="Palatino Linotype" w:cs="Tahoma"/>
          <w:bCs/>
          <w:sz w:val="24"/>
          <w:szCs w:val="24"/>
        </w:rPr>
        <w:t>ediante manifestación catastral.</w:t>
      </w:r>
    </w:p>
    <w:p w:rsidR="00993845" w:rsidRPr="00D32644" w:rsidRDefault="00993845" w:rsidP="00166A3C">
      <w:pPr>
        <w:spacing w:before="240" w:after="240" w:line="360" w:lineRule="auto"/>
        <w:contextualSpacing/>
        <w:jc w:val="both"/>
        <w:rPr>
          <w:rFonts w:ascii="Palatino Linotype" w:eastAsia="Calibri" w:hAnsi="Palatino Linotype" w:cs="Tahoma"/>
          <w:bCs/>
          <w:sz w:val="24"/>
          <w:szCs w:val="24"/>
        </w:rPr>
      </w:pPr>
      <w:r w:rsidRPr="00D32644">
        <w:rPr>
          <w:rFonts w:ascii="Palatino Linotype" w:eastAsia="Calibri" w:hAnsi="Palatino Linotype" w:cs="Tahoma"/>
          <w:bCs/>
          <w:sz w:val="24"/>
          <w:szCs w:val="24"/>
        </w:rPr>
        <w:t>En los casos en que el valor catastral haya sido modificado por la actualización de las Tablas de Valores Unitarios de Suelo y Construcciones, publicadas en el periódico oficial, será obligación de los propietarios o poseedores de inmuebles, declarar su valor ante el Ayuntamiento, mediante manifestación de valor catastral que presenten en los formatos autorizados o a través de un avalúo catastral practicado y emitido por el IGECEM o por especialista en valuación inmobiliaria con registro vigente expedido por el propio Instituto.</w:t>
      </w:r>
    </w:p>
    <w:p w:rsidR="006529DA" w:rsidRPr="00D32644" w:rsidRDefault="006529DA" w:rsidP="00166A3C">
      <w:pPr>
        <w:spacing w:before="240" w:after="240" w:line="360" w:lineRule="auto"/>
        <w:contextualSpacing/>
        <w:jc w:val="both"/>
        <w:rPr>
          <w:rFonts w:ascii="Palatino Linotype" w:eastAsia="Calibri" w:hAnsi="Palatino Linotype" w:cs="Tahoma"/>
          <w:bCs/>
        </w:rPr>
      </w:pPr>
      <w:r w:rsidRPr="00D32644">
        <w:rPr>
          <w:rFonts w:ascii="Palatino Linotype" w:eastAsia="Calibri" w:hAnsi="Palatino Linotype" w:cs="Tahoma"/>
          <w:bCs/>
          <w:sz w:val="24"/>
          <w:szCs w:val="24"/>
        </w:rPr>
        <w:t>Por su parte el Reglamento del Título Quinto del Código Financiero del Estado de México y Municipios en los artículos 26 y 27</w:t>
      </w:r>
      <w:r w:rsidR="00C64C3E" w:rsidRPr="00D32644">
        <w:rPr>
          <w:rFonts w:ascii="Palatino Linotype" w:eastAsia="Calibri" w:hAnsi="Palatino Linotype" w:cs="Tahoma"/>
          <w:bCs/>
          <w:sz w:val="24"/>
          <w:szCs w:val="24"/>
        </w:rPr>
        <w:t xml:space="preserve"> del Reglamento en mención</w:t>
      </w:r>
      <w:r w:rsidRPr="00D32644">
        <w:rPr>
          <w:rFonts w:ascii="Palatino Linotype" w:eastAsia="Calibri" w:hAnsi="Palatino Linotype" w:cs="Tahoma"/>
          <w:bCs/>
          <w:sz w:val="24"/>
          <w:szCs w:val="24"/>
        </w:rPr>
        <w:t xml:space="preserve"> establecen lo siguiente:</w:t>
      </w:r>
    </w:p>
    <w:p w:rsidR="00166A3C" w:rsidRPr="00D32644" w:rsidRDefault="00166A3C" w:rsidP="006529DA">
      <w:pPr>
        <w:spacing w:after="0" w:line="240" w:lineRule="auto"/>
        <w:ind w:left="851" w:right="851"/>
        <w:contextualSpacing/>
        <w:jc w:val="both"/>
        <w:rPr>
          <w:rFonts w:ascii="Palatino Linotype" w:hAnsi="Palatino Linotype"/>
          <w:b/>
          <w:i/>
        </w:rPr>
      </w:pPr>
    </w:p>
    <w:p w:rsidR="00166A3C" w:rsidRPr="00D32644" w:rsidRDefault="006529DA" w:rsidP="006529DA">
      <w:pPr>
        <w:spacing w:after="0" w:line="240" w:lineRule="auto"/>
        <w:ind w:left="851" w:right="851"/>
        <w:contextualSpacing/>
        <w:jc w:val="both"/>
        <w:rPr>
          <w:rFonts w:ascii="Palatino Linotype" w:hAnsi="Palatino Linotype"/>
          <w:i/>
        </w:rPr>
      </w:pPr>
      <w:r w:rsidRPr="00D32644">
        <w:rPr>
          <w:rFonts w:ascii="Palatino Linotype" w:hAnsi="Palatino Linotype"/>
          <w:b/>
          <w:i/>
        </w:rPr>
        <w:t>Artículo 26.-</w:t>
      </w:r>
      <w:r w:rsidRPr="00D32644">
        <w:rPr>
          <w:rFonts w:ascii="Palatino Linotype" w:hAnsi="Palatino Linotype"/>
          <w:i/>
        </w:rPr>
        <w:t xml:space="preserve"> Para la inscripción inicial de un inmueble en el padrón catastral municipal, el Catastro Municipal asignará la clave catastral conforme a la estructura determinada en la fracción I del artículo 179 del Código y en todo caso atenderá a los lineamientos y procedimientos establecidos en el Manual Catastral. </w:t>
      </w:r>
    </w:p>
    <w:p w:rsidR="00166A3C" w:rsidRPr="00D32644" w:rsidRDefault="00166A3C" w:rsidP="006529DA">
      <w:pPr>
        <w:spacing w:after="0" w:line="240" w:lineRule="auto"/>
        <w:ind w:left="851" w:right="851"/>
        <w:contextualSpacing/>
        <w:jc w:val="both"/>
        <w:rPr>
          <w:rFonts w:ascii="Palatino Linotype" w:hAnsi="Palatino Linotype"/>
          <w:b/>
          <w:i/>
        </w:rPr>
      </w:pPr>
    </w:p>
    <w:p w:rsidR="00166A3C" w:rsidRPr="00D32644" w:rsidRDefault="006529DA" w:rsidP="006529DA">
      <w:pPr>
        <w:spacing w:after="0" w:line="240" w:lineRule="auto"/>
        <w:ind w:left="851" w:right="851"/>
        <w:contextualSpacing/>
        <w:jc w:val="both"/>
        <w:rPr>
          <w:rFonts w:ascii="Palatino Linotype" w:hAnsi="Palatino Linotype"/>
          <w:i/>
        </w:rPr>
      </w:pPr>
      <w:r w:rsidRPr="00D32644">
        <w:rPr>
          <w:rFonts w:ascii="Palatino Linotype" w:hAnsi="Palatino Linotype"/>
          <w:b/>
          <w:i/>
        </w:rPr>
        <w:t>Artículo 27.-</w:t>
      </w:r>
      <w:r w:rsidRPr="00D32644">
        <w:rPr>
          <w:rFonts w:ascii="Palatino Linotype" w:hAnsi="Palatino Linotype"/>
          <w:i/>
        </w:rPr>
        <w:t xml:space="preserve"> La clave catastral invariablemente se inscribirá tanto en el registro gráfico como en el alfanumérico y en su asignación</w:t>
      </w:r>
      <w:r w:rsidR="00166A3C" w:rsidRPr="00D32644">
        <w:rPr>
          <w:rFonts w:ascii="Palatino Linotype" w:hAnsi="Palatino Linotype"/>
          <w:i/>
        </w:rPr>
        <w:t xml:space="preserve"> no se permitirán duplicidades.</w:t>
      </w:r>
    </w:p>
    <w:p w:rsidR="00166A3C" w:rsidRPr="00D32644" w:rsidRDefault="00166A3C" w:rsidP="006529DA">
      <w:pPr>
        <w:spacing w:after="0" w:line="240" w:lineRule="auto"/>
        <w:ind w:left="851" w:right="851"/>
        <w:contextualSpacing/>
        <w:jc w:val="both"/>
        <w:rPr>
          <w:rFonts w:ascii="Palatino Linotype" w:hAnsi="Palatino Linotype"/>
          <w:i/>
        </w:rPr>
      </w:pPr>
    </w:p>
    <w:p w:rsidR="006529DA" w:rsidRPr="00D32644" w:rsidRDefault="006529DA" w:rsidP="006529DA">
      <w:pPr>
        <w:spacing w:after="0" w:line="240" w:lineRule="auto"/>
        <w:ind w:left="851" w:right="851"/>
        <w:contextualSpacing/>
        <w:jc w:val="both"/>
        <w:rPr>
          <w:rFonts w:ascii="Palatino Linotype" w:eastAsia="Calibri" w:hAnsi="Palatino Linotype" w:cs="Tahoma"/>
          <w:bCs/>
          <w:i/>
          <w:sz w:val="24"/>
          <w:szCs w:val="24"/>
        </w:rPr>
      </w:pPr>
      <w:r w:rsidRPr="00D32644">
        <w:rPr>
          <w:rFonts w:ascii="Palatino Linotype" w:hAnsi="Palatino Linotype"/>
          <w:i/>
        </w:rPr>
        <w:t>Las asignaciones, bajas y reasignaciones de claves catastrales se realizarán conforme a las políticas y procedimientos que para tal efecto se establecen en el Manual Catastral.</w:t>
      </w:r>
    </w:p>
    <w:p w:rsidR="00AC6A83" w:rsidRPr="00D32644" w:rsidRDefault="00AC6A83" w:rsidP="00AC6A83">
      <w:pPr>
        <w:spacing w:line="276" w:lineRule="auto"/>
        <w:ind w:right="-93"/>
        <w:contextualSpacing/>
        <w:jc w:val="both"/>
        <w:rPr>
          <w:rFonts w:ascii="Palatino Linotype" w:eastAsia="Calibri" w:hAnsi="Palatino Linotype" w:cs="Tahoma"/>
          <w:bCs/>
        </w:rPr>
      </w:pPr>
    </w:p>
    <w:p w:rsidR="00993845" w:rsidRPr="00D32644" w:rsidRDefault="00993845" w:rsidP="00AC6A83">
      <w:pPr>
        <w:spacing w:line="276" w:lineRule="auto"/>
        <w:ind w:right="-93"/>
        <w:contextualSpacing/>
        <w:jc w:val="both"/>
        <w:rPr>
          <w:rFonts w:ascii="Palatino Linotype" w:eastAsia="Calibri" w:hAnsi="Palatino Linotype" w:cs="Tahoma"/>
          <w:bCs/>
        </w:rPr>
      </w:pPr>
    </w:p>
    <w:p w:rsidR="00166A3C" w:rsidRPr="00D32644" w:rsidRDefault="00166A3C" w:rsidP="00166A3C">
      <w:pPr>
        <w:spacing w:before="240" w:after="240" w:line="360" w:lineRule="auto"/>
        <w:contextualSpacing/>
        <w:jc w:val="both"/>
        <w:rPr>
          <w:rFonts w:ascii="Palatino Linotype" w:eastAsia="Calibri" w:hAnsi="Palatino Linotype" w:cs="Tahoma"/>
          <w:bCs/>
          <w:sz w:val="24"/>
          <w:szCs w:val="24"/>
        </w:rPr>
      </w:pPr>
      <w:r w:rsidRPr="00D32644">
        <w:rPr>
          <w:rFonts w:ascii="Palatino Linotype" w:eastAsia="Calibri" w:hAnsi="Palatino Linotype" w:cs="Tahoma"/>
          <w:bCs/>
          <w:sz w:val="24"/>
          <w:szCs w:val="24"/>
        </w:rPr>
        <w:lastRenderedPageBreak/>
        <w:t xml:space="preserve">De los dispositivos legales en mención se advierte que la inscripción de un inmueble en el padrón catastral, el catastro deberá asignarle una clave catastral conforme a la estructura establecida en el Código Financiero, atendiendo los lineamientos establecido en el Manual Catastral, </w:t>
      </w:r>
      <w:r w:rsidR="009D2CD2" w:rsidRPr="00D32644">
        <w:rPr>
          <w:rFonts w:ascii="Palatino Linotype" w:eastAsia="Calibri" w:hAnsi="Palatino Linotype" w:cs="Tahoma"/>
          <w:bCs/>
          <w:sz w:val="24"/>
          <w:szCs w:val="24"/>
        </w:rPr>
        <w:t>que en el caso en específico se encuentran precisadas y detalladas en las políticas generales ACC001, ACC002, ACC003, ACC004, ACC005 y ACC006, mismas que se tienen como si a la letra se insertasen.</w:t>
      </w:r>
    </w:p>
    <w:p w:rsidR="00FE401E" w:rsidRPr="00D32644" w:rsidRDefault="009D2CD2" w:rsidP="00C05077">
      <w:pPr>
        <w:spacing w:before="240" w:after="240" w:line="360" w:lineRule="auto"/>
        <w:contextualSpacing/>
        <w:jc w:val="both"/>
        <w:rPr>
          <w:rFonts w:ascii="Palatino Linotype" w:eastAsia="Calibri" w:hAnsi="Palatino Linotype" w:cs="Tahoma"/>
          <w:bCs/>
          <w:sz w:val="24"/>
          <w:szCs w:val="24"/>
        </w:rPr>
      </w:pPr>
      <w:r w:rsidRPr="00D32644">
        <w:rPr>
          <w:rFonts w:ascii="Palatino Linotype" w:eastAsia="Calibri" w:hAnsi="Palatino Linotype" w:cs="Tahoma"/>
          <w:bCs/>
          <w:sz w:val="24"/>
          <w:szCs w:val="24"/>
        </w:rPr>
        <w:t>En conclusión debe precisarse que si bien es cierto la clave catastral es un código alfanumérico único e irrepetible y está compuesto de dieciséis caracteres, que se asigna para efectos de localización geográfica, identificación, inscripción, control y registro de los inmuebles</w:t>
      </w:r>
      <w:r w:rsidR="006B7B42" w:rsidRPr="00D32644">
        <w:rPr>
          <w:rFonts w:ascii="Palatino Linotype" w:eastAsia="Calibri" w:hAnsi="Palatino Linotype" w:cs="Tahoma"/>
          <w:bCs/>
          <w:sz w:val="24"/>
          <w:szCs w:val="24"/>
        </w:rPr>
        <w:t xml:space="preserve">, sin embargo también cierto que a través del referido dato se pueden saber datos relativos al patrimonio del propietario y/o poseedor de un bien inmueble, </w:t>
      </w:r>
      <w:r w:rsidR="00D2140A" w:rsidRPr="00D32644">
        <w:rPr>
          <w:rFonts w:ascii="Palatino Linotype" w:eastAsia="Calibri" w:hAnsi="Palatino Linotype" w:cs="Tahoma"/>
          <w:bCs/>
          <w:sz w:val="24"/>
          <w:szCs w:val="24"/>
        </w:rPr>
        <w:t>l</w:t>
      </w:r>
      <w:r w:rsidR="006B7B42" w:rsidRPr="00D32644">
        <w:rPr>
          <w:rFonts w:ascii="Palatino Linotype" w:eastAsia="Calibri" w:hAnsi="Palatino Linotype" w:cs="Tahoma"/>
          <w:bCs/>
          <w:sz w:val="24"/>
          <w:szCs w:val="24"/>
        </w:rPr>
        <w:t>o anterior es así en razón de que del análisis realizado a la legislación en materia catastral, a través de la clave catastral se puede determinar el importe a pagar por concepto de impuesto predial, uso de suelo que le corresponde a la fracción de terreno en que se encuentra ubicado el inmueble, s</w:t>
      </w:r>
      <w:r w:rsidR="006B7B42" w:rsidRPr="00D32644">
        <w:rPr>
          <w:rFonts w:ascii="Palatino Linotype" w:hAnsi="Palatino Linotype"/>
          <w:sz w:val="24"/>
          <w:szCs w:val="24"/>
        </w:rPr>
        <w:t>uperficie total del terreno, características del terreno, superficie total de construcción y características de la misma, uso específico del predio, valor catastral del terreno y</w:t>
      </w:r>
      <w:r w:rsidR="00C05077" w:rsidRPr="00D32644">
        <w:rPr>
          <w:rFonts w:ascii="Palatino Linotype" w:hAnsi="Palatino Linotype"/>
          <w:sz w:val="24"/>
          <w:szCs w:val="24"/>
        </w:rPr>
        <w:t xml:space="preserve"> de la construcción, motivo por el cual considero que en el presente asunto, debió clasificarse como confidencial la clave catastral, situación que en el recurso de revisión al rubro indicado no sucedió.</w:t>
      </w:r>
    </w:p>
    <w:p w:rsidR="00C05077" w:rsidRPr="00D32644" w:rsidRDefault="001C3D2B" w:rsidP="00C05077">
      <w:pPr>
        <w:spacing w:before="240" w:after="240" w:line="360" w:lineRule="auto"/>
        <w:contextualSpacing/>
        <w:jc w:val="both"/>
        <w:rPr>
          <w:rFonts w:ascii="Palatino Linotype" w:eastAsia="Calibri" w:hAnsi="Palatino Linotype" w:cs="Tahoma"/>
          <w:bCs/>
          <w:sz w:val="24"/>
          <w:szCs w:val="24"/>
        </w:rPr>
      </w:pPr>
      <w:r w:rsidRPr="00D32644">
        <w:rPr>
          <w:rFonts w:ascii="Palatino Linotype" w:eastAsia="Calibri" w:hAnsi="Palatino Linotype" w:cs="Tahoma"/>
          <w:bCs/>
          <w:sz w:val="24"/>
          <w:szCs w:val="24"/>
        </w:rPr>
        <w:t xml:space="preserve">Por </w:t>
      </w:r>
      <w:r w:rsidR="00C05077" w:rsidRPr="00D32644">
        <w:rPr>
          <w:rFonts w:ascii="Palatino Linotype" w:eastAsia="Calibri" w:hAnsi="Palatino Linotype" w:cs="Tahoma"/>
          <w:bCs/>
          <w:sz w:val="24"/>
          <w:szCs w:val="24"/>
        </w:rPr>
        <w:t>otra parte debe precisarse que otro de los motivos que dieron pauta que el suscrito formulara el presente voto, es el consistente d</w:t>
      </w:r>
      <w:bookmarkStart w:id="0" w:name="_GoBack"/>
      <w:bookmarkEnd w:id="0"/>
      <w:r w:rsidR="00C05077" w:rsidRPr="00D32644">
        <w:rPr>
          <w:rFonts w:ascii="Palatino Linotype" w:eastAsia="Calibri" w:hAnsi="Palatino Linotype" w:cs="Tahoma"/>
          <w:bCs/>
          <w:sz w:val="24"/>
          <w:szCs w:val="24"/>
        </w:rPr>
        <w:t xml:space="preserve">e que se deje visible el nombre </w:t>
      </w:r>
      <w:r w:rsidR="00C05077" w:rsidRPr="00D32644">
        <w:rPr>
          <w:rFonts w:ascii="Palatino Linotype" w:eastAsia="Calibri" w:hAnsi="Palatino Linotype" w:cs="Tahoma"/>
          <w:bCs/>
          <w:sz w:val="24"/>
          <w:szCs w:val="24"/>
        </w:rPr>
        <w:lastRenderedPageBreak/>
        <w:t xml:space="preserve">de la persona a favor de quien se expidió la licencia de funcionamiento con giro de taller de bicicletas con venta de refacciones, ubicado en </w:t>
      </w:r>
      <w:r w:rsidR="00073209">
        <w:rPr>
          <w:rFonts w:ascii="Palatino Linotype" w:eastAsia="Calibri" w:hAnsi="Palatino Linotype" w:cs="Tahoma"/>
          <w:bCs/>
          <w:sz w:val="24"/>
          <w:szCs w:val="24"/>
        </w:rPr>
        <w:t>XXXXXXXXXXXXXXXXXXXXXX</w:t>
      </w:r>
      <w:r w:rsidR="00C05077" w:rsidRPr="00D32644">
        <w:rPr>
          <w:rFonts w:ascii="Palatino Linotype" w:eastAsia="Calibri" w:hAnsi="Palatino Linotype" w:cs="Tahoma"/>
          <w:bCs/>
          <w:sz w:val="24"/>
          <w:szCs w:val="24"/>
        </w:rPr>
        <w:t xml:space="preserve">, al respecto debe precisarse que si bien es cierto en la resolución se precisó en términos generales como se integra el nombre de las personas físicas, así como el referido dato es un atributo de la personalidad conforme a lo establecido en el </w:t>
      </w:r>
      <w:r w:rsidRPr="00D32644">
        <w:rPr>
          <w:rFonts w:ascii="Palatino Linotype" w:eastAsia="Calibri" w:hAnsi="Palatino Linotype" w:cs="Tahoma"/>
          <w:bCs/>
          <w:sz w:val="24"/>
          <w:szCs w:val="24"/>
          <w:lang w:val="es-ES_tradnl"/>
        </w:rPr>
        <w:t xml:space="preserve">artículo 2.3 del Código Civil del Estado de México, de tal suerte, el nombre </w:t>
      </w:r>
      <w:r w:rsidRPr="00D32644">
        <w:rPr>
          <w:rFonts w:ascii="Palatino Linotype" w:eastAsia="Calibri" w:hAnsi="Palatino Linotype" w:cs="Tahoma"/>
          <w:bCs/>
          <w:i/>
          <w:sz w:val="24"/>
          <w:szCs w:val="24"/>
          <w:lang w:val="es-ES_tradnl"/>
        </w:rPr>
        <w:t>per se</w:t>
      </w:r>
      <w:r w:rsidRPr="00D32644">
        <w:rPr>
          <w:rFonts w:ascii="Palatino Linotype" w:eastAsia="Calibri" w:hAnsi="Palatino Linotype" w:cs="Tahoma"/>
          <w:bCs/>
          <w:sz w:val="24"/>
          <w:szCs w:val="24"/>
          <w:lang w:val="es-ES_tradnl"/>
        </w:rPr>
        <w:t xml:space="preserve"> es un elemento que hace a una persona física identificada o identificable, por lo que, </w:t>
      </w:r>
      <w:r w:rsidRPr="00D32644">
        <w:rPr>
          <w:rFonts w:ascii="Palatino Linotype" w:eastAsia="Calibri" w:hAnsi="Palatino Linotype" w:cs="Tahoma"/>
          <w:b/>
          <w:bCs/>
          <w:sz w:val="24"/>
          <w:szCs w:val="24"/>
          <w:lang w:val="es-ES_tradnl"/>
        </w:rPr>
        <w:t>se considera un dato personal.</w:t>
      </w:r>
    </w:p>
    <w:p w:rsidR="001C3D2B" w:rsidRPr="00D32644" w:rsidRDefault="00C05077" w:rsidP="005016CC">
      <w:pPr>
        <w:spacing w:before="240" w:after="240" w:line="360" w:lineRule="auto"/>
        <w:contextualSpacing/>
        <w:jc w:val="both"/>
        <w:rPr>
          <w:rFonts w:ascii="Palatino Linotype" w:eastAsia="Calibri" w:hAnsi="Palatino Linotype" w:cs="Tahoma"/>
          <w:bCs/>
          <w:sz w:val="24"/>
          <w:szCs w:val="24"/>
        </w:rPr>
      </w:pPr>
      <w:r w:rsidRPr="00D32644">
        <w:rPr>
          <w:rFonts w:ascii="Palatino Linotype" w:eastAsia="Calibri" w:hAnsi="Palatino Linotype" w:cs="Tahoma"/>
          <w:bCs/>
          <w:sz w:val="24"/>
          <w:szCs w:val="24"/>
          <w:lang w:val="es-ES_tradnl"/>
        </w:rPr>
        <w:t>Por otra parte se precisó que en términos del</w:t>
      </w:r>
      <w:r w:rsidRPr="00D32644">
        <w:rPr>
          <w:rFonts w:ascii="Palatino Linotype" w:eastAsia="Calibri" w:hAnsi="Palatino Linotype" w:cs="Tahoma"/>
          <w:b/>
          <w:bCs/>
          <w:sz w:val="24"/>
          <w:szCs w:val="24"/>
          <w:lang w:val="es-ES_tradnl"/>
        </w:rPr>
        <w:t xml:space="preserve"> </w:t>
      </w:r>
      <w:r w:rsidR="001C3D2B" w:rsidRPr="00D32644">
        <w:rPr>
          <w:rFonts w:ascii="Palatino Linotype" w:eastAsia="Calibri" w:hAnsi="Palatino Linotype" w:cs="Tahoma"/>
          <w:bCs/>
          <w:sz w:val="24"/>
          <w:szCs w:val="24"/>
        </w:rPr>
        <w:t xml:space="preserve">artículo 92, fracción XXXII, de la Ley de Transparencia y Acceso a la Información Pública del Estado de México y Municipios, establece que los Sujetos Obligados deberán poner a disposición del público de manera permanente y actualizada de las licencias otorgadas, especificando los titulares de estas, debiendo publicarse el objeto, </w:t>
      </w:r>
      <w:r w:rsidR="001C3D2B" w:rsidRPr="00D32644">
        <w:rPr>
          <w:rFonts w:ascii="Palatino Linotype" w:eastAsia="Calibri" w:hAnsi="Palatino Linotype" w:cs="Tahoma"/>
          <w:b/>
          <w:bCs/>
          <w:sz w:val="24"/>
          <w:szCs w:val="24"/>
        </w:rPr>
        <w:t xml:space="preserve">nombre </w:t>
      </w:r>
      <w:r w:rsidR="001C3D2B" w:rsidRPr="00D32644">
        <w:rPr>
          <w:rFonts w:ascii="Palatino Linotype" w:eastAsia="Calibri" w:hAnsi="Palatino Linotype" w:cs="Tahoma"/>
          <w:bCs/>
          <w:sz w:val="24"/>
          <w:szCs w:val="24"/>
        </w:rPr>
        <w:t>o razón social, vigencia, tipo, términos, con</w:t>
      </w:r>
      <w:r w:rsidR="005016CC" w:rsidRPr="00D32644">
        <w:rPr>
          <w:rFonts w:ascii="Palatino Linotype" w:eastAsia="Calibri" w:hAnsi="Palatino Linotype" w:cs="Tahoma"/>
          <w:bCs/>
          <w:sz w:val="24"/>
          <w:szCs w:val="24"/>
        </w:rPr>
        <w:t xml:space="preserve">diciones, monto o modificación, concluyendo la existencia de una colisión de derechos, razón por la cual realizó una prueba de interés público lo anterior, con la finalidad de determinar si en el presente asunto era procedente dejar visible el nombre o en su defecto clasificarlo como confidencial, conforme a lo establecido en el artículo 143 fracción I de la Ley de Transparencia Vigente en la entidad, concluyendo </w:t>
      </w:r>
      <w:r w:rsidR="001C3D2B" w:rsidRPr="00D32644">
        <w:rPr>
          <w:rFonts w:ascii="Palatino Linotype" w:eastAsia="Calibri" w:hAnsi="Palatino Linotype" w:cs="Tahoma"/>
          <w:bCs/>
          <w:sz w:val="24"/>
          <w:szCs w:val="24"/>
        </w:rPr>
        <w:t xml:space="preserve">que dar a conocer el nombre de los titulares de licencias, prevalece sobre la protección de los datos personales confidenciales de dichas personas, en razón del interés público que reviste; </w:t>
      </w:r>
      <w:r w:rsidR="005016CC" w:rsidRPr="00D32644">
        <w:rPr>
          <w:rFonts w:ascii="Palatino Linotype" w:eastAsia="Calibri" w:hAnsi="Palatino Linotype" w:cs="Tahoma"/>
          <w:bCs/>
          <w:sz w:val="24"/>
          <w:szCs w:val="24"/>
        </w:rPr>
        <w:t>conclusión con la cual no coincido.</w:t>
      </w:r>
    </w:p>
    <w:p w:rsidR="005016CC" w:rsidRPr="00D32644" w:rsidRDefault="005016CC" w:rsidP="005016CC">
      <w:pPr>
        <w:spacing w:before="240" w:after="240" w:line="360" w:lineRule="auto"/>
        <w:contextualSpacing/>
        <w:jc w:val="both"/>
        <w:rPr>
          <w:rFonts w:ascii="Palatino Linotype" w:eastAsia="Calibri" w:hAnsi="Palatino Linotype" w:cs="Tahoma"/>
          <w:bCs/>
          <w:sz w:val="24"/>
          <w:szCs w:val="24"/>
        </w:rPr>
      </w:pPr>
    </w:p>
    <w:p w:rsidR="005016CC" w:rsidRPr="00D32644" w:rsidRDefault="005016CC" w:rsidP="00D2140A">
      <w:pPr>
        <w:spacing w:before="240" w:after="240" w:line="360" w:lineRule="auto"/>
        <w:jc w:val="both"/>
        <w:rPr>
          <w:rFonts w:ascii="Palatino Linotype" w:eastAsia="Calibri" w:hAnsi="Palatino Linotype" w:cs="Tahoma"/>
          <w:bCs/>
          <w:sz w:val="24"/>
          <w:szCs w:val="24"/>
          <w:lang w:val="es-ES_tradnl"/>
        </w:rPr>
      </w:pPr>
      <w:r w:rsidRPr="00D32644">
        <w:rPr>
          <w:rFonts w:ascii="Palatino Linotype" w:hAnsi="Palatino Linotype"/>
          <w:sz w:val="24"/>
          <w:szCs w:val="24"/>
        </w:rPr>
        <w:lastRenderedPageBreak/>
        <w:t xml:space="preserve">En primer término considero que la prueba de interés público era innecesaria, en virtud de que si bien en el presente asunto se podía configurar la existencia de una colisión de derechos como lo refiere el ponente, sin embargo </w:t>
      </w:r>
      <w:r w:rsidR="009269CE" w:rsidRPr="00D32644">
        <w:rPr>
          <w:rFonts w:ascii="Palatino Linotype" w:hAnsi="Palatino Linotype"/>
          <w:sz w:val="24"/>
          <w:szCs w:val="24"/>
        </w:rPr>
        <w:t>no se debe perder de vista</w:t>
      </w:r>
      <w:r w:rsidRPr="00D32644">
        <w:rPr>
          <w:rFonts w:ascii="Palatino Linotype" w:hAnsi="Palatino Linotype"/>
          <w:sz w:val="24"/>
          <w:szCs w:val="24"/>
        </w:rPr>
        <w:t xml:space="preserve"> </w:t>
      </w:r>
      <w:r w:rsidRPr="00D32644">
        <w:rPr>
          <w:rFonts w:ascii="Palatino Linotype" w:eastAsia="Calibri" w:hAnsi="Palatino Linotype" w:cs="Tahoma"/>
          <w:bCs/>
          <w:sz w:val="24"/>
          <w:szCs w:val="24"/>
          <w:lang w:val="es-ES_tradnl"/>
        </w:rPr>
        <w:t>que</w:t>
      </w:r>
      <w:r w:rsidR="009269CE" w:rsidRPr="00D32644">
        <w:rPr>
          <w:rFonts w:ascii="Palatino Linotype" w:eastAsia="Calibri" w:hAnsi="Palatino Linotype" w:cs="Tahoma"/>
          <w:bCs/>
          <w:sz w:val="24"/>
          <w:szCs w:val="24"/>
          <w:lang w:val="es-ES_tradnl"/>
        </w:rPr>
        <w:t xml:space="preserve"> en la página 20 de la resolución materia del presente asunto, se precisó que</w:t>
      </w:r>
      <w:r w:rsidRPr="00D32644">
        <w:rPr>
          <w:rFonts w:ascii="Palatino Linotype" w:eastAsia="Calibri" w:hAnsi="Palatino Linotype" w:cs="Tahoma"/>
          <w:bCs/>
          <w:sz w:val="24"/>
          <w:szCs w:val="24"/>
          <w:lang w:val="es-ES_tradnl"/>
        </w:rPr>
        <w:t xml:space="preserve"> este Instituto emitió el Criterio Relevante 01/18, de la Segunda Época de este Instituto, que establece que el nombre del titular de una licencia, como en el caso que nos ocupa, es información confidencial, cuando no involucra aprovechamiento de recursos públicos.</w:t>
      </w:r>
    </w:p>
    <w:p w:rsidR="00A856C5" w:rsidRPr="00D32644" w:rsidRDefault="005016CC" w:rsidP="00503C01">
      <w:pPr>
        <w:spacing w:after="0" w:line="240" w:lineRule="auto"/>
        <w:ind w:left="851" w:right="851"/>
        <w:jc w:val="both"/>
        <w:rPr>
          <w:rFonts w:ascii="Palatino Linotype" w:hAnsi="Palatino Linotype" w:cs="Tahoma"/>
          <w:bCs/>
          <w:i/>
          <w:lang w:eastAsia="es-MX"/>
        </w:rPr>
      </w:pPr>
      <w:r w:rsidRPr="00D32644">
        <w:rPr>
          <w:rFonts w:ascii="Palatino Linotype" w:hAnsi="Palatino Linotype" w:cs="Tahoma"/>
          <w:b/>
          <w:bCs/>
          <w:i/>
          <w:lang w:eastAsia="es-MX"/>
        </w:rPr>
        <w:t>“Nombre del titular de una licencia que no involucre el aprovechamiento de bienes, servicios y/o recursos públicos, constituye un dato personal susceptible de clasificar como confidencial.</w:t>
      </w:r>
      <w:r w:rsidRPr="00D32644">
        <w:rPr>
          <w:rFonts w:ascii="Palatino Linotype" w:hAnsi="Palatino Linotype" w:cs="Tahoma"/>
          <w:bCs/>
          <w:i/>
          <w:lang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w:t>
      </w:r>
      <w:r w:rsidRPr="00D32644">
        <w:rPr>
          <w:rFonts w:ascii="Palatino Linotype" w:hAnsi="Palatino Linotype" w:cs="Tahoma"/>
          <w:b/>
          <w:bCs/>
          <w:i/>
          <w:u w:val="single"/>
          <w:lang w:eastAsia="es-MX"/>
        </w:rPr>
        <w:t xml:space="preserve">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w:t>
      </w:r>
      <w:r w:rsidRPr="00D32644">
        <w:rPr>
          <w:rFonts w:ascii="Palatino Linotype" w:hAnsi="Palatino Linotype" w:cs="Tahoma"/>
          <w:b/>
          <w:bCs/>
          <w:i/>
          <w:u w:val="single"/>
          <w:lang w:eastAsia="es-MX"/>
        </w:rPr>
        <w:lastRenderedPageBreak/>
        <w:t>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r w:rsidRPr="00D32644">
        <w:rPr>
          <w:rFonts w:ascii="Palatino Linotype" w:hAnsi="Palatino Linotype" w:cs="Tahoma"/>
          <w:bCs/>
          <w:i/>
          <w:lang w:eastAsia="es-MX"/>
        </w:rPr>
        <w:t>.”</w:t>
      </w:r>
    </w:p>
    <w:p w:rsidR="00D2140A" w:rsidRPr="00D32644" w:rsidRDefault="00D2140A" w:rsidP="00503C01">
      <w:pPr>
        <w:spacing w:after="0" w:line="240" w:lineRule="auto"/>
        <w:ind w:left="851" w:right="851"/>
        <w:jc w:val="both"/>
        <w:rPr>
          <w:rFonts w:ascii="Palatino Linotype" w:hAnsi="Palatino Linotype" w:cs="Tahoma"/>
          <w:b/>
          <w:bCs/>
          <w:i/>
          <w:lang w:eastAsia="es-MX"/>
        </w:rPr>
      </w:pPr>
    </w:p>
    <w:p w:rsidR="00D2140A" w:rsidRPr="00D32644" w:rsidRDefault="00D2140A" w:rsidP="00503C01">
      <w:pPr>
        <w:spacing w:after="0" w:line="240" w:lineRule="auto"/>
        <w:ind w:left="851" w:right="851"/>
        <w:jc w:val="both"/>
        <w:rPr>
          <w:rFonts w:ascii="Palatino Linotype" w:hAnsi="Palatino Linotype" w:cs="Tahoma"/>
          <w:bCs/>
          <w:i/>
          <w:lang w:eastAsia="es-MX"/>
        </w:rPr>
      </w:pPr>
      <w:r w:rsidRPr="00D32644">
        <w:rPr>
          <w:rFonts w:ascii="Palatino Linotype" w:hAnsi="Palatino Linotype" w:cs="Tahoma"/>
          <w:b/>
          <w:bCs/>
          <w:i/>
          <w:lang w:eastAsia="es-MX"/>
        </w:rPr>
        <w:t>Énfasis añadido</w:t>
      </w:r>
      <w:r w:rsidRPr="00D32644">
        <w:rPr>
          <w:rFonts w:ascii="Palatino Linotype" w:hAnsi="Palatino Linotype" w:cs="Tahoma"/>
          <w:bCs/>
          <w:i/>
          <w:lang w:eastAsia="es-MX"/>
        </w:rPr>
        <w:t>.</w:t>
      </w:r>
    </w:p>
    <w:p w:rsidR="00503C01" w:rsidRPr="00D32644" w:rsidRDefault="00503C01" w:rsidP="00A856C5">
      <w:pPr>
        <w:spacing w:line="276" w:lineRule="auto"/>
        <w:ind w:right="-93"/>
        <w:jc w:val="both"/>
        <w:rPr>
          <w:rFonts w:ascii="Tahoma" w:eastAsia="Calibri" w:hAnsi="Tahoma" w:cs="Tahoma"/>
          <w:bCs/>
          <w:sz w:val="24"/>
        </w:rPr>
      </w:pPr>
    </w:p>
    <w:p w:rsidR="00503C01" w:rsidRPr="00D32644" w:rsidRDefault="00503C01" w:rsidP="00A856C5">
      <w:pPr>
        <w:spacing w:before="240" w:after="240" w:line="360" w:lineRule="auto"/>
        <w:jc w:val="both"/>
        <w:rPr>
          <w:rFonts w:ascii="Palatino Linotype" w:eastAsia="Calibri" w:hAnsi="Palatino Linotype" w:cs="Tahoma"/>
          <w:bCs/>
          <w:sz w:val="24"/>
        </w:rPr>
      </w:pPr>
      <w:r w:rsidRPr="00D32644">
        <w:rPr>
          <w:rFonts w:ascii="Palatino Linotype" w:eastAsia="Calibri" w:hAnsi="Palatino Linotype" w:cs="Tahoma"/>
          <w:bCs/>
          <w:sz w:val="24"/>
        </w:rPr>
        <w:t xml:space="preserve">Concluyendo </w:t>
      </w:r>
      <w:r w:rsidR="00A856C5" w:rsidRPr="00D32644">
        <w:rPr>
          <w:rFonts w:ascii="Palatino Linotype" w:eastAsia="Calibri" w:hAnsi="Palatino Linotype" w:cs="Tahoma"/>
          <w:bCs/>
          <w:sz w:val="24"/>
          <w:szCs w:val="24"/>
          <w:lang w:val="es-ES_tradnl"/>
        </w:rPr>
        <w:t>que el nombre localizado en una licencia de funcionamiento, guarda cierto interés público, dado que cualquier actividad comercial, industrial o económica, es regulada por el Municipio de Ecatepec de Morelos dentro de su circunscripción territorial, pues ayuda a t</w:t>
      </w:r>
      <w:r w:rsidRPr="00D32644">
        <w:rPr>
          <w:rFonts w:ascii="Palatino Linotype" w:eastAsia="Calibri" w:hAnsi="Palatino Linotype" w:cs="Tahoma"/>
          <w:bCs/>
          <w:sz w:val="24"/>
          <w:szCs w:val="24"/>
          <w:lang w:val="es-ES_tradnl"/>
        </w:rPr>
        <w:t xml:space="preserve">ransparentar la gestión pública, sin embargo a consideración del suscrito, derivado del </w:t>
      </w:r>
      <w:r w:rsidR="00A856C5" w:rsidRPr="00D32644">
        <w:rPr>
          <w:rFonts w:ascii="Palatino Linotype" w:eastAsia="Calibri" w:hAnsi="Palatino Linotype" w:cs="Tahoma"/>
          <w:bCs/>
          <w:sz w:val="24"/>
        </w:rPr>
        <w:t xml:space="preserve">análisis e interpretación realizada al criterio en cita, se aprecia claramente </w:t>
      </w:r>
      <w:r w:rsidRPr="00D32644">
        <w:rPr>
          <w:rFonts w:ascii="Palatino Linotype" w:eastAsia="Calibri" w:hAnsi="Palatino Linotype" w:cs="Tahoma"/>
          <w:bCs/>
          <w:sz w:val="24"/>
        </w:rPr>
        <w:t xml:space="preserve">si bien es cierto </w:t>
      </w:r>
      <w:r w:rsidR="00A856C5" w:rsidRPr="00D32644">
        <w:rPr>
          <w:rFonts w:ascii="Palatino Linotype" w:eastAsia="Calibri" w:hAnsi="Palatino Linotype" w:cs="Tahoma"/>
          <w:bCs/>
          <w:sz w:val="24"/>
        </w:rPr>
        <w:t xml:space="preserve">el artículo 92, fracción XXXII de la Ley de Transparencia y Acceso a la Información Pública del Estado de México y Municipios, señala que el nombre de los titulares de las licencias es un dato de carácter público, </w:t>
      </w:r>
      <w:r w:rsidRPr="00D32644">
        <w:rPr>
          <w:rFonts w:ascii="Palatino Linotype" w:eastAsia="Calibri" w:hAnsi="Palatino Linotype" w:cs="Tahoma"/>
          <w:bCs/>
          <w:sz w:val="24"/>
        </w:rPr>
        <w:t>pues la intromisión a los datos personales de particulares únicamente se verá justificada cuando se involucre el aprovechamiento de bienes, servicios y/o recursos públicos.</w:t>
      </w:r>
    </w:p>
    <w:p w:rsidR="00C433F0" w:rsidRPr="00D32644" w:rsidRDefault="00503C01" w:rsidP="00C433F0">
      <w:pPr>
        <w:spacing w:before="240" w:after="240" w:line="360" w:lineRule="auto"/>
        <w:jc w:val="both"/>
        <w:rPr>
          <w:rFonts w:ascii="Palatino Linotype" w:eastAsia="Calibri" w:hAnsi="Palatino Linotype" w:cs="Tahoma"/>
          <w:bCs/>
          <w:sz w:val="24"/>
        </w:rPr>
      </w:pPr>
      <w:r w:rsidRPr="00D32644">
        <w:rPr>
          <w:rFonts w:ascii="Palatino Linotype" w:eastAsia="Calibri" w:hAnsi="Palatino Linotype" w:cs="Tahoma"/>
          <w:bCs/>
          <w:sz w:val="24"/>
        </w:rPr>
        <w:t xml:space="preserve">No obstante, </w:t>
      </w:r>
      <w:r w:rsidR="00146B5D" w:rsidRPr="00D32644">
        <w:rPr>
          <w:rFonts w:ascii="Palatino Linotype" w:eastAsia="Calibri" w:hAnsi="Palatino Linotype" w:cs="Tahoma"/>
          <w:bCs/>
          <w:sz w:val="24"/>
        </w:rPr>
        <w:t xml:space="preserve">con base en el </w:t>
      </w:r>
      <w:r w:rsidRPr="00D32644">
        <w:rPr>
          <w:rFonts w:ascii="Palatino Linotype" w:eastAsia="Calibri" w:hAnsi="Palatino Linotype" w:cs="Tahoma"/>
          <w:bCs/>
          <w:sz w:val="24"/>
        </w:rPr>
        <w:t xml:space="preserve">criterio en análisis aprecia claramente la existencia de una excepción </w:t>
      </w:r>
      <w:r w:rsidR="00146B5D" w:rsidRPr="00D32644">
        <w:rPr>
          <w:rFonts w:ascii="Palatino Linotype" w:eastAsia="Calibri" w:hAnsi="Palatino Linotype" w:cs="Tahoma"/>
          <w:bCs/>
          <w:sz w:val="24"/>
        </w:rPr>
        <w:t>a lo establecido en el artículo 92 fracción XXXII de la Ley de Transparencia</w:t>
      </w:r>
      <w:r w:rsidR="00A856C5" w:rsidRPr="00D32644">
        <w:rPr>
          <w:rFonts w:ascii="Palatino Linotype" w:eastAsia="Calibri" w:hAnsi="Palatino Linotype" w:cs="Tahoma"/>
          <w:bCs/>
          <w:sz w:val="24"/>
        </w:rPr>
        <w:t xml:space="preserve">, </w:t>
      </w:r>
      <w:r w:rsidRPr="00D32644">
        <w:rPr>
          <w:rFonts w:ascii="Palatino Linotype" w:eastAsia="Calibri" w:hAnsi="Palatino Linotype" w:cs="Tahoma"/>
          <w:bCs/>
          <w:sz w:val="24"/>
        </w:rPr>
        <w:t xml:space="preserve">la cual consiste en que el nombre de los titulares de las licencias es un dato de carácter </w:t>
      </w:r>
      <w:r w:rsidR="00146B5D" w:rsidRPr="00D32644">
        <w:rPr>
          <w:rFonts w:ascii="Palatino Linotype" w:eastAsia="Calibri" w:hAnsi="Palatino Linotype" w:cs="Tahoma"/>
          <w:bCs/>
          <w:sz w:val="24"/>
        </w:rPr>
        <w:lastRenderedPageBreak/>
        <w:t>confidencial</w:t>
      </w:r>
      <w:r w:rsidRPr="00D32644">
        <w:rPr>
          <w:rFonts w:ascii="Palatino Linotype" w:eastAsia="Calibri" w:hAnsi="Palatino Linotype" w:cs="Tahoma"/>
          <w:bCs/>
          <w:sz w:val="24"/>
        </w:rPr>
        <w:t xml:space="preserve">, cuando </w:t>
      </w:r>
      <w:r w:rsidR="00146B5D" w:rsidRPr="00D32644">
        <w:rPr>
          <w:rFonts w:ascii="Palatino Linotype" w:eastAsia="Calibri" w:hAnsi="Palatino Linotype" w:cs="Tahoma"/>
          <w:bCs/>
          <w:sz w:val="24"/>
        </w:rPr>
        <w:t xml:space="preserve">no se </w:t>
      </w:r>
      <w:r w:rsidRPr="00D32644">
        <w:rPr>
          <w:rFonts w:ascii="Palatino Linotype" w:eastAsia="Calibri" w:hAnsi="Palatino Linotype" w:cs="Tahoma"/>
          <w:bCs/>
          <w:sz w:val="24"/>
        </w:rPr>
        <w:t xml:space="preserve">involucre el aprovechamiento de bienes, servicios y/o recursos públicos, circunstancia que en el presente </w:t>
      </w:r>
      <w:r w:rsidR="00146B5D" w:rsidRPr="00D32644">
        <w:rPr>
          <w:rFonts w:ascii="Palatino Linotype" w:eastAsia="Calibri" w:hAnsi="Palatino Linotype" w:cs="Tahoma"/>
          <w:bCs/>
          <w:sz w:val="24"/>
        </w:rPr>
        <w:t>asunto se actualiza, en razón de que la licencia emitida por el Sujeto Obligado tiene como fin autorizar al titular de la misma que ejerza una actividad comercial, en la que no se ven involucrados el aprovechamiento de bienes, servicios y/o recursos públicos</w:t>
      </w:r>
      <w:r w:rsidR="00C433F0" w:rsidRPr="00D32644">
        <w:rPr>
          <w:rFonts w:ascii="Palatino Linotype" w:eastAsia="Calibri" w:hAnsi="Palatino Linotype" w:cs="Tahoma"/>
          <w:bCs/>
          <w:sz w:val="24"/>
        </w:rPr>
        <w:t xml:space="preserve">, motivo por el cual considero que es razón suficiente para no dejar visible el nombre de la persona a favor de quien se emite, lo anterior es así en razón de que el mismo </w:t>
      </w:r>
      <w:r w:rsidR="00C433F0" w:rsidRPr="00D32644">
        <w:rPr>
          <w:rFonts w:ascii="Palatino Linotype" w:hAnsi="Palatino Linotype"/>
          <w:sz w:val="24"/>
          <w:szCs w:val="24"/>
        </w:rPr>
        <w:t xml:space="preserve">constituye un dato personal confidencial en términos de lo dispuesto </w:t>
      </w:r>
      <w:r w:rsidR="00C433F0" w:rsidRPr="00D32644">
        <w:rPr>
          <w:rFonts w:ascii="Palatino Linotype" w:hAnsi="Palatino Linotype" w:cs="Arial"/>
          <w:sz w:val="24"/>
          <w:szCs w:val="24"/>
        </w:rPr>
        <w:t>en el artículo 143, fracción I de la Ley de Transparencia y Acceso a la Información Pública del</w:t>
      </w:r>
      <w:r w:rsidR="00C433F0" w:rsidRPr="00D32644">
        <w:rPr>
          <w:rFonts w:ascii="Palatino Linotype" w:eastAsia="Times New Roman" w:hAnsi="Palatino Linotype" w:cs="Arial"/>
          <w:sz w:val="24"/>
          <w:szCs w:val="24"/>
          <w:lang w:eastAsia="es-MX"/>
        </w:rPr>
        <w:t xml:space="preserve"> </w:t>
      </w:r>
      <w:r w:rsidR="00C433F0" w:rsidRPr="00D32644">
        <w:rPr>
          <w:rFonts w:ascii="Palatino Linotype" w:hAnsi="Palatino Linotype" w:cs="Arial"/>
          <w:sz w:val="24"/>
          <w:szCs w:val="24"/>
        </w:rPr>
        <w:t>Estado de México y Municipios, así como en el artículo 4, fracción XI de la Ley de Protección de Datos Personales vigente en el Estado de México.</w:t>
      </w:r>
    </w:p>
    <w:p w:rsidR="00C433F0" w:rsidRPr="00D32644" w:rsidRDefault="00C433F0" w:rsidP="00C433F0">
      <w:pPr>
        <w:spacing w:after="0" w:line="360" w:lineRule="auto"/>
        <w:jc w:val="both"/>
        <w:rPr>
          <w:rFonts w:ascii="Palatino Linotype" w:hAnsi="Palatino Linotype"/>
          <w:sz w:val="24"/>
          <w:szCs w:val="24"/>
        </w:rPr>
      </w:pPr>
      <w:r w:rsidRPr="00D32644">
        <w:rPr>
          <w:rFonts w:ascii="Palatino Linotype" w:hAnsi="Palatino Linotype"/>
          <w:sz w:val="24"/>
          <w:szCs w:val="24"/>
        </w:rPr>
        <w:t>En esta tesitura, cabe precisarse que el Código Civil del Estado de México establece entre otras cosas establece que como atributos de la personalidad se encuentra el nombre, el cual designa e individualiza a una persona, en este sentido debe precisarse que en sus artículos 2.13, 2.14 y 2.16, que el nombre de las personas físicas se forma con el sustantivo propio y el primer apellido del padre y el primer apellido de la madre, en el orden que, de común acuerdo determinen, por lo que se refiere al nombre de las personas jurídicas colectivas este se forma con la denominación o razón social, asignada en el acto de su constitución o en sus estatutos.</w:t>
      </w:r>
    </w:p>
    <w:p w:rsidR="00C433F0" w:rsidRPr="00D32644" w:rsidRDefault="00C433F0" w:rsidP="00C433F0">
      <w:pPr>
        <w:spacing w:after="0" w:line="360" w:lineRule="auto"/>
        <w:jc w:val="both"/>
        <w:rPr>
          <w:rFonts w:ascii="Palatino Linotype" w:hAnsi="Palatino Linotype"/>
          <w:sz w:val="24"/>
          <w:szCs w:val="24"/>
        </w:rPr>
      </w:pPr>
      <w:r w:rsidRPr="00D32644">
        <w:rPr>
          <w:rFonts w:ascii="Palatino Linotype" w:hAnsi="Palatino Linotype"/>
          <w:sz w:val="24"/>
          <w:szCs w:val="24"/>
        </w:rPr>
        <w:t>Aunado a lo anterior debe mencionarse que los artículos 2.3 y 2.4 del Código Civil del Estado de México establecen lo siguiente:</w:t>
      </w:r>
      <w:r w:rsidRPr="00D32644">
        <w:rPr>
          <w:rFonts w:ascii="Palatino Linotype" w:hAnsi="Palatino Linotype"/>
          <w:b/>
          <w:sz w:val="24"/>
          <w:szCs w:val="24"/>
        </w:rPr>
        <w:t xml:space="preserve"> </w:t>
      </w:r>
    </w:p>
    <w:p w:rsidR="00C433F0" w:rsidRPr="00D32644" w:rsidRDefault="00C433F0" w:rsidP="00C433F0">
      <w:pPr>
        <w:spacing w:after="0" w:line="360" w:lineRule="auto"/>
        <w:jc w:val="both"/>
        <w:rPr>
          <w:rFonts w:ascii="Palatino Linotype" w:hAnsi="Palatino Linotype"/>
          <w:sz w:val="23"/>
          <w:szCs w:val="23"/>
        </w:rPr>
      </w:pPr>
    </w:p>
    <w:p w:rsidR="00C433F0" w:rsidRPr="00D32644" w:rsidRDefault="00C433F0" w:rsidP="00C433F0">
      <w:pPr>
        <w:spacing w:after="0" w:line="240" w:lineRule="auto"/>
        <w:ind w:left="851" w:right="851"/>
        <w:jc w:val="both"/>
        <w:rPr>
          <w:rFonts w:ascii="Palatino Linotype" w:hAnsi="Palatino Linotype"/>
          <w:b/>
          <w:i/>
        </w:rPr>
      </w:pPr>
      <w:r w:rsidRPr="00D32644">
        <w:rPr>
          <w:rFonts w:ascii="Palatino Linotype" w:hAnsi="Palatino Linotype"/>
          <w:b/>
          <w:i/>
        </w:rPr>
        <w:t xml:space="preserve">Atributos de la personalidad </w:t>
      </w:r>
    </w:p>
    <w:p w:rsidR="00C433F0" w:rsidRPr="00D32644" w:rsidRDefault="00C433F0" w:rsidP="00C433F0">
      <w:pPr>
        <w:spacing w:after="0" w:line="240" w:lineRule="auto"/>
        <w:ind w:left="851" w:right="851"/>
        <w:jc w:val="both"/>
        <w:rPr>
          <w:rFonts w:ascii="Palatino Linotype" w:hAnsi="Palatino Linotype"/>
          <w:i/>
        </w:rPr>
      </w:pPr>
      <w:r w:rsidRPr="00D32644">
        <w:rPr>
          <w:rFonts w:ascii="Palatino Linotype" w:hAnsi="Palatino Linotype"/>
          <w:b/>
          <w:i/>
        </w:rPr>
        <w:t>Artículo 2.3.-</w:t>
      </w:r>
      <w:r w:rsidRPr="00D32644">
        <w:rPr>
          <w:rFonts w:ascii="Palatino Linotype" w:hAnsi="Palatino Linotype"/>
          <w:i/>
        </w:rPr>
        <w:t xml:space="preserve"> Los </w:t>
      </w:r>
      <w:r w:rsidRPr="00D32644">
        <w:rPr>
          <w:rFonts w:ascii="Palatino Linotype" w:hAnsi="Palatino Linotype"/>
          <w:b/>
          <w:i/>
          <w:u w:val="single"/>
        </w:rPr>
        <w:t>atributos de la personalidad son el nombre</w:t>
      </w:r>
      <w:r w:rsidRPr="00D32644">
        <w:rPr>
          <w:rFonts w:ascii="Palatino Linotype" w:hAnsi="Palatino Linotype"/>
          <w:i/>
        </w:rPr>
        <w:t xml:space="preserve">, domicilio, estado civil y patrimonio. </w:t>
      </w:r>
    </w:p>
    <w:p w:rsidR="00C433F0" w:rsidRPr="00D32644" w:rsidRDefault="00C433F0" w:rsidP="00C433F0">
      <w:pPr>
        <w:spacing w:after="0" w:line="240" w:lineRule="auto"/>
        <w:ind w:left="851" w:right="851"/>
        <w:jc w:val="both"/>
        <w:rPr>
          <w:rFonts w:ascii="Palatino Linotype" w:hAnsi="Palatino Linotype"/>
          <w:b/>
          <w:i/>
        </w:rPr>
      </w:pPr>
      <w:r w:rsidRPr="00D32644">
        <w:rPr>
          <w:rFonts w:ascii="Palatino Linotype" w:hAnsi="Palatino Linotype"/>
          <w:b/>
          <w:i/>
        </w:rPr>
        <w:t xml:space="preserve">Concepto y naturaleza de los derechos </w:t>
      </w:r>
    </w:p>
    <w:p w:rsidR="00C433F0" w:rsidRPr="00D32644" w:rsidRDefault="00C433F0" w:rsidP="00C433F0">
      <w:pPr>
        <w:spacing w:after="0" w:line="240" w:lineRule="auto"/>
        <w:ind w:left="851" w:right="851"/>
        <w:jc w:val="both"/>
        <w:rPr>
          <w:rFonts w:ascii="Palatino Linotype" w:hAnsi="Palatino Linotype"/>
          <w:i/>
        </w:rPr>
      </w:pPr>
      <w:r w:rsidRPr="00D32644">
        <w:rPr>
          <w:rFonts w:ascii="Palatino Linotype" w:hAnsi="Palatino Linotype"/>
          <w:b/>
          <w:i/>
        </w:rPr>
        <w:t>Artículo 2.4.-</w:t>
      </w:r>
      <w:r w:rsidRPr="00D32644">
        <w:rPr>
          <w:rFonts w:ascii="Palatino Linotype" w:hAnsi="Palatino Linotype"/>
          <w:i/>
        </w:rPr>
        <w:t xml:space="preserve"> </w:t>
      </w:r>
      <w:r w:rsidRPr="00D32644">
        <w:rPr>
          <w:rFonts w:ascii="Palatino Linotype" w:hAnsi="Palatino Linotype"/>
          <w:b/>
          <w:i/>
          <w:u w:val="single"/>
        </w:rPr>
        <w:t>Los derechos de la personalidad constituyen el patrimonio moral o afectivo de</w:t>
      </w:r>
      <w:r w:rsidRPr="00D32644">
        <w:rPr>
          <w:rFonts w:ascii="Palatino Linotype" w:hAnsi="Palatino Linotype"/>
          <w:i/>
        </w:rPr>
        <w:t xml:space="preserve"> las personas físicas. </w:t>
      </w:r>
      <w:r w:rsidRPr="00D32644">
        <w:rPr>
          <w:rFonts w:ascii="Palatino Linotype" w:hAnsi="Palatino Linotype"/>
          <w:b/>
          <w:i/>
          <w:u w:val="single"/>
        </w:rPr>
        <w:t>Son inalienables, imprescriptibles e irrenunciables, y goza de ellos también la persona jurídica colectiva en lo que sea compatible con su naturaleza</w:t>
      </w:r>
      <w:r w:rsidRPr="00D32644">
        <w:rPr>
          <w:rFonts w:ascii="Palatino Linotype" w:hAnsi="Palatino Linotype"/>
          <w:i/>
        </w:rPr>
        <w:t xml:space="preserve">. </w:t>
      </w:r>
    </w:p>
    <w:p w:rsidR="00C433F0" w:rsidRPr="00D32644" w:rsidRDefault="00C433F0" w:rsidP="00C433F0">
      <w:pPr>
        <w:spacing w:after="0" w:line="240" w:lineRule="auto"/>
        <w:ind w:left="851" w:right="851"/>
        <w:jc w:val="both"/>
        <w:rPr>
          <w:rFonts w:ascii="Palatino Linotype" w:hAnsi="Palatino Linotype"/>
          <w:i/>
        </w:rPr>
      </w:pPr>
      <w:r w:rsidRPr="00D32644">
        <w:rPr>
          <w:rFonts w:ascii="Palatino Linotype" w:hAnsi="Palatino Linotype"/>
          <w:b/>
          <w:i/>
          <w:u w:val="single"/>
        </w:rPr>
        <w:t>Es deber del Estado proteger, fomentar y desarrollar estos derechos</w:t>
      </w:r>
      <w:r w:rsidRPr="00D32644">
        <w:rPr>
          <w:rFonts w:ascii="Palatino Linotype" w:hAnsi="Palatino Linotype"/>
          <w:i/>
        </w:rPr>
        <w:t>.</w:t>
      </w:r>
    </w:p>
    <w:p w:rsidR="00C433F0" w:rsidRPr="00D32644" w:rsidRDefault="00C433F0" w:rsidP="00C433F0">
      <w:pPr>
        <w:spacing w:after="0" w:line="240" w:lineRule="auto"/>
        <w:ind w:left="851" w:right="851"/>
        <w:jc w:val="both"/>
        <w:rPr>
          <w:rFonts w:ascii="Palatino Linotype" w:hAnsi="Palatino Linotype"/>
          <w:b/>
          <w:i/>
        </w:rPr>
      </w:pPr>
    </w:p>
    <w:p w:rsidR="00C433F0" w:rsidRPr="00D32644" w:rsidRDefault="00C433F0" w:rsidP="00C433F0">
      <w:pPr>
        <w:spacing w:after="0" w:line="240" w:lineRule="auto"/>
        <w:ind w:left="851" w:right="851"/>
        <w:jc w:val="both"/>
        <w:rPr>
          <w:rFonts w:ascii="Palatino Linotype" w:hAnsi="Palatino Linotype"/>
          <w:i/>
        </w:rPr>
      </w:pPr>
      <w:r w:rsidRPr="00D32644">
        <w:rPr>
          <w:rFonts w:ascii="Palatino Linotype" w:hAnsi="Palatino Linotype"/>
          <w:b/>
          <w:i/>
        </w:rPr>
        <w:t>Énfasis añadido</w:t>
      </w:r>
    </w:p>
    <w:p w:rsidR="00C433F0" w:rsidRPr="00D32644" w:rsidRDefault="00C433F0" w:rsidP="00C433F0">
      <w:pPr>
        <w:spacing w:after="0" w:line="360" w:lineRule="auto"/>
        <w:jc w:val="both"/>
        <w:rPr>
          <w:rFonts w:ascii="Palatino Linotype" w:hAnsi="Palatino Linotype"/>
          <w:sz w:val="23"/>
          <w:szCs w:val="23"/>
        </w:rPr>
      </w:pPr>
    </w:p>
    <w:p w:rsidR="00C433F0" w:rsidRPr="00D32644" w:rsidRDefault="00C433F0" w:rsidP="00C433F0">
      <w:pPr>
        <w:spacing w:after="0" w:line="360" w:lineRule="auto"/>
        <w:jc w:val="both"/>
        <w:rPr>
          <w:rFonts w:ascii="Palatino Linotype" w:hAnsi="Palatino Linotype"/>
          <w:sz w:val="24"/>
          <w:szCs w:val="24"/>
        </w:rPr>
      </w:pPr>
      <w:r w:rsidRPr="00D32644">
        <w:rPr>
          <w:rFonts w:ascii="Palatino Linotype" w:hAnsi="Palatino Linotype"/>
          <w:sz w:val="24"/>
          <w:szCs w:val="24"/>
        </w:rPr>
        <w:t>De los dispositivos legales insertados anteriormente se advierte que como atributo de la personalidad se encuentra el nombre y que es deber del estado proteger, fomentar y desarrollar estos derechos, en esta misma tesitura es conveniente precisar que la Ley de Protección de Datos Personales en Posesión de Sujetos Obligados del Estado de México y Municipios en su artículo 4 fracción XI establece lo siguiente:</w:t>
      </w:r>
    </w:p>
    <w:p w:rsidR="00B127E8" w:rsidRPr="00D32644" w:rsidRDefault="00B127E8" w:rsidP="00C433F0">
      <w:pPr>
        <w:spacing w:after="0" w:line="240" w:lineRule="auto"/>
        <w:ind w:left="851" w:right="851"/>
        <w:jc w:val="both"/>
        <w:rPr>
          <w:rFonts w:ascii="Palatino Linotype" w:hAnsi="Palatino Linotype"/>
          <w:b/>
          <w:i/>
        </w:rPr>
      </w:pPr>
    </w:p>
    <w:p w:rsidR="00C433F0" w:rsidRPr="00D32644" w:rsidRDefault="00C433F0" w:rsidP="00C433F0">
      <w:pPr>
        <w:spacing w:after="0" w:line="240" w:lineRule="auto"/>
        <w:ind w:left="851" w:right="851"/>
        <w:jc w:val="both"/>
        <w:rPr>
          <w:rFonts w:ascii="Palatino Linotype" w:hAnsi="Palatino Linotype"/>
          <w:i/>
        </w:rPr>
      </w:pPr>
      <w:r w:rsidRPr="00D32644">
        <w:rPr>
          <w:rFonts w:ascii="Palatino Linotype" w:hAnsi="Palatino Linotype"/>
          <w:b/>
          <w:i/>
        </w:rPr>
        <w:t>Artículo 4.</w:t>
      </w:r>
      <w:r w:rsidRPr="00D32644">
        <w:rPr>
          <w:rFonts w:ascii="Palatino Linotype" w:hAnsi="Palatino Linotype"/>
          <w:i/>
        </w:rPr>
        <w:t xml:space="preserve"> Para los efectos de esta Ley se entenderá por:</w:t>
      </w:r>
    </w:p>
    <w:p w:rsidR="00C433F0" w:rsidRPr="00D32644" w:rsidRDefault="00C433F0" w:rsidP="00C433F0">
      <w:pPr>
        <w:spacing w:after="0" w:line="240" w:lineRule="auto"/>
        <w:ind w:left="851" w:right="851"/>
        <w:jc w:val="both"/>
        <w:rPr>
          <w:rFonts w:ascii="Palatino Linotype" w:hAnsi="Palatino Linotype"/>
          <w:i/>
        </w:rPr>
      </w:pPr>
      <w:r w:rsidRPr="00D32644">
        <w:rPr>
          <w:rFonts w:ascii="Palatino Linotype" w:hAnsi="Palatino Linotype"/>
          <w:b/>
          <w:i/>
        </w:rPr>
        <w:t>XI. Datos personales:</w:t>
      </w:r>
      <w:r w:rsidRPr="00D32644">
        <w:rPr>
          <w:rFonts w:ascii="Palatino Linotype" w:hAnsi="Palatino Linotype"/>
          <w:i/>
        </w:rPr>
        <w:t xml:space="preserve"> </w:t>
      </w:r>
      <w:r w:rsidRPr="00D32644">
        <w:rPr>
          <w:rFonts w:ascii="Palatino Linotype" w:hAnsi="Palatino Linotype"/>
          <w:b/>
          <w:i/>
          <w:u w:val="single"/>
        </w:rPr>
        <w:t>a la información concerniente a una persona</w:t>
      </w:r>
      <w:r w:rsidRPr="00D32644">
        <w:rPr>
          <w:rFonts w:ascii="Palatino Linotype" w:hAnsi="Palatino Linotype"/>
          <w:i/>
        </w:rPr>
        <w:t xml:space="preserve"> física o </w:t>
      </w:r>
      <w:r w:rsidRPr="00D32644">
        <w:rPr>
          <w:rFonts w:ascii="Palatino Linotype" w:hAnsi="Palatino Linotype"/>
          <w:b/>
          <w:i/>
          <w:u w:val="single"/>
        </w:rPr>
        <w:t>jurídica colectiva identificada o identificable</w:t>
      </w:r>
      <w:r w:rsidRPr="00D32644">
        <w:rPr>
          <w:rFonts w:ascii="Palatino Linotype" w:hAnsi="Palatino Linotype"/>
          <w:i/>
        </w:rPr>
        <w:t>,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C433F0" w:rsidRPr="00D32644" w:rsidRDefault="00C433F0" w:rsidP="00C433F0">
      <w:pPr>
        <w:spacing w:after="0" w:line="360" w:lineRule="auto"/>
        <w:jc w:val="both"/>
        <w:rPr>
          <w:rFonts w:ascii="Palatino Linotype" w:hAnsi="Palatino Linotype"/>
          <w:sz w:val="23"/>
          <w:szCs w:val="23"/>
        </w:rPr>
      </w:pPr>
    </w:p>
    <w:p w:rsidR="00C433F0" w:rsidRPr="00D32644" w:rsidRDefault="00C433F0" w:rsidP="00C433F0">
      <w:pPr>
        <w:spacing w:after="0" w:line="360" w:lineRule="auto"/>
        <w:jc w:val="both"/>
        <w:rPr>
          <w:rFonts w:ascii="Palatino Linotype" w:hAnsi="Palatino Linotype"/>
          <w:sz w:val="24"/>
          <w:szCs w:val="24"/>
        </w:rPr>
      </w:pPr>
      <w:r w:rsidRPr="00D32644">
        <w:rPr>
          <w:rFonts w:ascii="Palatino Linotype" w:hAnsi="Palatino Linotype"/>
          <w:sz w:val="24"/>
          <w:szCs w:val="24"/>
        </w:rPr>
        <w:t xml:space="preserve">De lo establecido con anterioridad, cabe mencionar que no debe pasar desapercibido que la Ley de referida con antelación precisa en su numeral 1 que es de orden público, </w:t>
      </w:r>
      <w:r w:rsidRPr="00D32644">
        <w:rPr>
          <w:rFonts w:ascii="Palatino Linotype" w:hAnsi="Palatino Linotype"/>
          <w:sz w:val="24"/>
          <w:szCs w:val="24"/>
        </w:rPr>
        <w:lastRenderedPageBreak/>
        <w:t>interés social y observancia obligatoria en el Estado de México y sus Municipios, es reglamentaria de las disposiciones en materia de protección de datos personales previstas en la Constitución Política del Estado Libre y Soberano de México y que tiene por objeto establecer las bases, principios y procedimientos para tutelar y garantizar el derecho que tiene toda persona a la protección de sus datos personales, en posesión de los sujetos obligados, motivo por el cual este Órgano Garante en su carácter de autoridad protectora de datos en el Estado de México, debe garantizar la vida privada o intimidad de las personas frente a situaciones que involucren un interés público, razón por la cual es conveniente precisar que para el caso de que la materia de una solicitud de acceso a la información pública sea una licencia de construcción</w:t>
      </w:r>
      <w:r w:rsidR="00B127E8" w:rsidRPr="00D32644">
        <w:rPr>
          <w:rFonts w:ascii="Palatino Linotype" w:hAnsi="Palatino Linotype"/>
          <w:sz w:val="24"/>
          <w:szCs w:val="24"/>
        </w:rPr>
        <w:t xml:space="preserve"> y/o de funcionamiento</w:t>
      </w:r>
      <w:r w:rsidRPr="00D32644">
        <w:rPr>
          <w:rFonts w:ascii="Palatino Linotype" w:hAnsi="Palatino Linotype"/>
          <w:sz w:val="24"/>
          <w:szCs w:val="24"/>
        </w:rPr>
        <w:t xml:space="preserve">, la misma deberá entregarse en versión pública testando los datos que debido a su naturaleza sean susceptibles de clasificarse como confidenciales, entre los que sobresale el nombre de la persona física o jurídico colectiva a favor de quien se </w:t>
      </w:r>
      <w:r w:rsidR="00B127E8" w:rsidRPr="00D32644">
        <w:rPr>
          <w:rFonts w:ascii="Palatino Linotype" w:hAnsi="Palatino Linotype"/>
          <w:sz w:val="24"/>
          <w:szCs w:val="24"/>
        </w:rPr>
        <w:t>expide</w:t>
      </w:r>
      <w:r w:rsidRPr="00D32644">
        <w:rPr>
          <w:rFonts w:ascii="Palatino Linotype" w:hAnsi="Palatino Linotype"/>
          <w:sz w:val="24"/>
          <w:szCs w:val="24"/>
        </w:rPr>
        <w:t>, circunstancia que se encuentra estipulada en el Lineamiento Sexagésimo Sexto de los Lineamientos Generales en Materia de Clasificación y Desclasificación de la Información, así como para la Elaboración de Versiones Públicas publicado en el Diario Oficial de la Federación el quince de abril del año dos mil dieciséis que a continuación se inserta:</w:t>
      </w:r>
    </w:p>
    <w:p w:rsidR="00C433F0" w:rsidRPr="00D32644" w:rsidRDefault="00C433F0" w:rsidP="00C433F0">
      <w:pPr>
        <w:spacing w:after="0" w:line="240" w:lineRule="auto"/>
        <w:jc w:val="both"/>
        <w:rPr>
          <w:rFonts w:ascii="Palatino Linotype" w:hAnsi="Palatino Linotype"/>
          <w:sz w:val="24"/>
          <w:szCs w:val="24"/>
        </w:rPr>
      </w:pPr>
      <w:r w:rsidRPr="00D32644">
        <w:rPr>
          <w:rFonts w:ascii="Palatino Linotype" w:hAnsi="Palatino Linotype"/>
          <w:sz w:val="24"/>
          <w:szCs w:val="24"/>
        </w:rPr>
        <w:t xml:space="preserve"> </w:t>
      </w:r>
    </w:p>
    <w:p w:rsidR="00C433F0" w:rsidRPr="00D32644" w:rsidRDefault="00C433F0" w:rsidP="00C433F0">
      <w:pPr>
        <w:spacing w:after="0" w:line="240" w:lineRule="auto"/>
        <w:ind w:left="851" w:right="851"/>
        <w:jc w:val="both"/>
        <w:rPr>
          <w:rFonts w:ascii="Palatino Linotype" w:hAnsi="Palatino Linotype"/>
          <w:i/>
        </w:rPr>
      </w:pPr>
      <w:r w:rsidRPr="00D32644">
        <w:rPr>
          <w:rFonts w:ascii="Palatino Linotype" w:hAnsi="Palatino Linotype"/>
          <w:b/>
          <w:i/>
        </w:rPr>
        <w:t>Sexagésimo sexto.</w:t>
      </w:r>
      <w:r w:rsidRPr="00D32644">
        <w:rPr>
          <w:rFonts w:ascii="Palatino Linotype" w:hAnsi="Palatino Linotype"/>
          <w:i/>
        </w:rPr>
        <w:t xml:space="preserve"> </w:t>
      </w:r>
      <w:r w:rsidRPr="00D32644">
        <w:rPr>
          <w:rFonts w:ascii="Palatino Linotype" w:hAnsi="Palatino Linotype"/>
          <w:b/>
          <w:i/>
          <w:u w:val="single"/>
        </w:rPr>
        <w:t>Ante una solicitud de acceso podrá elaborarse una versión pública de las concesiones, permisos o autorizaciones</w:t>
      </w:r>
      <w:r w:rsidRPr="00D32644">
        <w:rPr>
          <w:rFonts w:ascii="Palatino Linotype" w:hAnsi="Palatino Linotype"/>
          <w:i/>
        </w:rPr>
        <w:t xml:space="preserve">, en la que no podrá testarse aquella información que acredite el cumplimiento de obligaciones previstas para la obtención, renovación o conservación de la concesión, permiso o </w:t>
      </w:r>
      <w:r w:rsidRPr="00D32644">
        <w:rPr>
          <w:rFonts w:ascii="Palatino Linotype" w:hAnsi="Palatino Linotype"/>
          <w:i/>
        </w:rPr>
        <w:lastRenderedPageBreak/>
        <w:t xml:space="preserve">autorización de que se trate, </w:t>
      </w:r>
      <w:r w:rsidRPr="00D32644">
        <w:rPr>
          <w:rFonts w:ascii="Palatino Linotype" w:hAnsi="Palatino Linotype"/>
          <w:b/>
          <w:i/>
          <w:u w:val="single"/>
        </w:rPr>
        <w:t>salvo aquella información que se encuentre clasificada como confidencial</w:t>
      </w:r>
      <w:r w:rsidRPr="00D32644">
        <w:rPr>
          <w:rFonts w:ascii="Palatino Linotype" w:hAnsi="Palatino Linotype"/>
          <w:i/>
        </w:rPr>
        <w:t>.</w:t>
      </w:r>
    </w:p>
    <w:p w:rsidR="00C433F0" w:rsidRPr="00D32644" w:rsidRDefault="00C433F0" w:rsidP="00C433F0">
      <w:pPr>
        <w:spacing w:after="0" w:line="240" w:lineRule="auto"/>
        <w:ind w:left="851" w:right="851"/>
        <w:jc w:val="both"/>
        <w:rPr>
          <w:rFonts w:ascii="Palatino Linotype" w:hAnsi="Palatino Linotype"/>
          <w:i/>
        </w:rPr>
      </w:pPr>
    </w:p>
    <w:p w:rsidR="00C433F0" w:rsidRPr="00D32644" w:rsidRDefault="00C433F0" w:rsidP="00C433F0">
      <w:pPr>
        <w:spacing w:after="0" w:line="240" w:lineRule="auto"/>
        <w:ind w:left="851" w:right="851"/>
        <w:jc w:val="both"/>
        <w:rPr>
          <w:rFonts w:ascii="Palatino Linotype" w:hAnsi="Palatino Linotype"/>
          <w:i/>
        </w:rPr>
      </w:pPr>
      <w:r w:rsidRPr="00D32644">
        <w:rPr>
          <w:rFonts w:ascii="Palatino Linotype" w:hAnsi="Palatino Linotype"/>
          <w:i/>
        </w:rPr>
        <w:t>Énfasis añadido.</w:t>
      </w:r>
    </w:p>
    <w:p w:rsidR="00C433F0" w:rsidRPr="00D32644" w:rsidRDefault="00C433F0" w:rsidP="00C433F0">
      <w:pPr>
        <w:spacing w:after="0" w:line="240" w:lineRule="auto"/>
        <w:ind w:left="851" w:right="851"/>
        <w:jc w:val="both"/>
        <w:rPr>
          <w:rFonts w:ascii="Palatino Linotype" w:hAnsi="Palatino Linotype"/>
          <w:i/>
        </w:rPr>
      </w:pPr>
    </w:p>
    <w:p w:rsidR="00C433F0" w:rsidRPr="00D32644" w:rsidRDefault="00C433F0" w:rsidP="00C433F0">
      <w:pPr>
        <w:spacing w:before="240" w:after="240" w:line="360" w:lineRule="auto"/>
        <w:jc w:val="both"/>
        <w:rPr>
          <w:rFonts w:ascii="Palatino Linotype" w:eastAsia="Calibri" w:hAnsi="Palatino Linotype" w:cs="Tahoma"/>
          <w:bCs/>
          <w:sz w:val="24"/>
          <w:szCs w:val="24"/>
        </w:rPr>
      </w:pPr>
      <w:r w:rsidRPr="00D32644">
        <w:rPr>
          <w:rFonts w:ascii="Palatino Linotype" w:hAnsi="Palatino Linotype"/>
          <w:sz w:val="24"/>
          <w:szCs w:val="24"/>
        </w:rPr>
        <w:t xml:space="preserve">En mérito de lo anterior y atendiendo a los dispositivos legales referidos con antelación </w:t>
      </w:r>
      <w:r w:rsidR="00B127E8" w:rsidRPr="00D32644">
        <w:rPr>
          <w:rFonts w:ascii="Palatino Linotype" w:hAnsi="Palatino Linotype"/>
          <w:sz w:val="24"/>
          <w:szCs w:val="24"/>
        </w:rPr>
        <w:t xml:space="preserve">para el suscrito, </w:t>
      </w:r>
      <w:r w:rsidRPr="00D32644">
        <w:rPr>
          <w:rFonts w:ascii="Palatino Linotype" w:hAnsi="Palatino Linotype"/>
          <w:sz w:val="24"/>
          <w:szCs w:val="24"/>
        </w:rPr>
        <w:t>es procedente realizar la entrega de una licencia de construcción</w:t>
      </w:r>
      <w:r w:rsidR="00B127E8" w:rsidRPr="00D32644">
        <w:rPr>
          <w:rFonts w:ascii="Palatino Linotype" w:hAnsi="Palatino Linotype"/>
          <w:sz w:val="24"/>
          <w:szCs w:val="24"/>
        </w:rPr>
        <w:t xml:space="preserve"> y/o de funcionamiento</w:t>
      </w:r>
      <w:r w:rsidRPr="00D32644">
        <w:rPr>
          <w:rFonts w:ascii="Palatino Linotype" w:hAnsi="Palatino Linotype"/>
          <w:sz w:val="24"/>
          <w:szCs w:val="24"/>
        </w:rPr>
        <w:t>, testando entre otros datos el nombre de la persona a favor de quien se expidió el documento, toda vez que no se debe perder de vista que al dejarlo visible la hace identificable, aunado a que atentaría su patrimonio podría en razón de que se otorgaría acceso a terceros y posteriormente se podría derivar un mal uso de dicha información, circunstancia que es contraria al objeto de Instituto, es decir, tutelar y garantizar el derecho que tiene toda persona a la protección de sus datos personales, en posesión de los sujetos obligados.</w:t>
      </w:r>
    </w:p>
    <w:p w:rsidR="005016CC" w:rsidRPr="00D32644" w:rsidRDefault="00146B5D" w:rsidP="00A856C5">
      <w:pPr>
        <w:spacing w:before="240" w:after="240" w:line="360" w:lineRule="auto"/>
        <w:jc w:val="both"/>
        <w:rPr>
          <w:rFonts w:ascii="Palatino Linotype" w:eastAsia="Calibri" w:hAnsi="Palatino Linotype" w:cs="Tahoma"/>
          <w:bCs/>
          <w:sz w:val="24"/>
          <w:szCs w:val="24"/>
        </w:rPr>
      </w:pPr>
      <w:r w:rsidRPr="00D32644">
        <w:rPr>
          <w:rFonts w:ascii="Palatino Linotype" w:eastAsia="Calibri" w:hAnsi="Palatino Linotype" w:cs="Tahoma"/>
          <w:bCs/>
          <w:sz w:val="24"/>
          <w:szCs w:val="24"/>
        </w:rPr>
        <w:t>Aunado a lo anterior debe precisarse que el artículo</w:t>
      </w:r>
      <w:r w:rsidRPr="00D32644">
        <w:rPr>
          <w:rFonts w:ascii="Palatino Linotype" w:eastAsia="Times New Roman" w:hAnsi="Palatino Linotype" w:cs="Arial"/>
          <w:sz w:val="24"/>
          <w:szCs w:val="24"/>
        </w:rPr>
        <w:t xml:space="preserve"> </w:t>
      </w:r>
      <w:r w:rsidRPr="00D32644">
        <w:rPr>
          <w:rFonts w:ascii="Palatino Linotype" w:eastAsia="Calibri" w:hAnsi="Palatino Linotype" w:cs="Tahoma"/>
          <w:bCs/>
          <w:sz w:val="24"/>
          <w:szCs w:val="24"/>
        </w:rPr>
        <w:t>204 de la Ley de Transparencia y Acceso a la Información Pública del Estado de México y Municipios establece lo siguiente:</w:t>
      </w:r>
    </w:p>
    <w:p w:rsidR="00146B5D" w:rsidRPr="00D32644" w:rsidRDefault="00146B5D" w:rsidP="00146B5D">
      <w:pPr>
        <w:spacing w:after="0" w:line="240" w:lineRule="auto"/>
        <w:ind w:left="851" w:right="851"/>
        <w:jc w:val="both"/>
        <w:rPr>
          <w:rFonts w:ascii="Palatino Linotype" w:eastAsia="Calibri" w:hAnsi="Palatino Linotype" w:cs="Tahoma"/>
          <w:bCs/>
          <w:i/>
        </w:rPr>
      </w:pPr>
      <w:r w:rsidRPr="00D32644">
        <w:rPr>
          <w:rFonts w:ascii="Palatino Linotype" w:eastAsia="Calibri" w:hAnsi="Palatino Linotype" w:cs="Tahoma"/>
          <w:b/>
          <w:bCs/>
          <w:i/>
        </w:rPr>
        <w:t>“Artículo 204.</w:t>
      </w:r>
      <w:r w:rsidRPr="00D32644">
        <w:rPr>
          <w:rFonts w:ascii="Palatino Linotype" w:eastAsia="Calibri" w:hAnsi="Palatino Linotype" w:cs="Tahoma"/>
          <w:bCs/>
          <w:i/>
        </w:rPr>
        <w:t xml:space="preserve"> </w:t>
      </w:r>
      <w:r w:rsidRPr="00D32644">
        <w:rPr>
          <w:rFonts w:ascii="Palatino Linotype" w:eastAsia="Calibri" w:hAnsi="Palatino Linotype" w:cs="Tahoma"/>
          <w:b/>
          <w:bCs/>
          <w:i/>
          <w:u w:val="single"/>
        </w:rPr>
        <w:t>Los criterios</w:t>
      </w:r>
      <w:r w:rsidRPr="00D32644">
        <w:rPr>
          <w:rFonts w:ascii="Palatino Linotype" w:eastAsia="Calibri" w:hAnsi="Palatino Linotype" w:cs="Tahoma"/>
          <w:bCs/>
          <w:i/>
        </w:rPr>
        <w:t xml:space="preserve"> reiterados y </w:t>
      </w:r>
      <w:r w:rsidRPr="00D32644">
        <w:rPr>
          <w:rFonts w:ascii="Palatino Linotype" w:eastAsia="Calibri" w:hAnsi="Palatino Linotype" w:cs="Tahoma"/>
          <w:b/>
          <w:bCs/>
          <w:i/>
          <w:u w:val="single"/>
        </w:rPr>
        <w:t>relevantes serán obligatorios para los integrantes del Instituto y para los sujetos obligados</w:t>
      </w:r>
      <w:r w:rsidRPr="00D32644">
        <w:rPr>
          <w:rFonts w:ascii="Palatino Linotype" w:eastAsia="Calibri" w:hAnsi="Palatino Linotype" w:cs="Tahoma"/>
          <w:bCs/>
          <w:i/>
        </w:rPr>
        <w:t xml:space="preserve">. </w:t>
      </w:r>
      <w:r w:rsidRPr="00D32644">
        <w:rPr>
          <w:rFonts w:ascii="Palatino Linotype" w:eastAsia="Calibri" w:hAnsi="Palatino Linotype" w:cs="Tahoma"/>
          <w:b/>
          <w:bCs/>
          <w:i/>
          <w:u w:val="single"/>
        </w:rPr>
        <w:t>La obligatoriedad del criterio deberá ser observada</w:t>
      </w:r>
      <w:r w:rsidRPr="00D32644">
        <w:rPr>
          <w:rFonts w:ascii="Palatino Linotype" w:eastAsia="Calibri" w:hAnsi="Palatino Linotype" w:cs="Tahoma"/>
          <w:b/>
          <w:bCs/>
          <w:i/>
        </w:rPr>
        <w:t xml:space="preserve"> </w:t>
      </w:r>
      <w:r w:rsidRPr="00D32644">
        <w:rPr>
          <w:rFonts w:ascii="Palatino Linotype" w:eastAsia="Calibri" w:hAnsi="Palatino Linotype" w:cs="Tahoma"/>
          <w:bCs/>
          <w:i/>
        </w:rPr>
        <w:t xml:space="preserve">al dar respuesta al particular en su ejercicio del derecho de acceso a la información o protección de datos personales, según sea aplicable a la materia de la solicitud, así como al cumplir las resoluciones del Instituto revisor de sus actos, aun </w:t>
      </w:r>
      <w:r w:rsidRPr="00D32644">
        <w:rPr>
          <w:rFonts w:ascii="Palatino Linotype" w:eastAsia="Calibri" w:hAnsi="Palatino Linotype" w:cs="Tahoma"/>
          <w:b/>
          <w:bCs/>
          <w:i/>
          <w:u w:val="single"/>
        </w:rPr>
        <w:t>cuando dicho criterio no haya sido invocado en la resolución que haya recaído al recurso</w:t>
      </w:r>
      <w:r w:rsidRPr="00D32644">
        <w:rPr>
          <w:rFonts w:ascii="Palatino Linotype" w:eastAsia="Calibri" w:hAnsi="Palatino Linotype" w:cs="Tahoma"/>
          <w:bCs/>
          <w:i/>
        </w:rPr>
        <w:t xml:space="preserve"> objeto del cumplimiento, de ser aplicable al caso concreto.”</w:t>
      </w:r>
    </w:p>
    <w:p w:rsidR="00146B5D" w:rsidRPr="00D32644" w:rsidRDefault="00146B5D" w:rsidP="00146B5D">
      <w:pPr>
        <w:spacing w:after="0" w:line="240" w:lineRule="auto"/>
        <w:ind w:left="851" w:right="851"/>
        <w:jc w:val="both"/>
        <w:rPr>
          <w:rFonts w:ascii="Palatino Linotype" w:eastAsia="Calibri" w:hAnsi="Palatino Linotype" w:cs="Tahoma"/>
          <w:bCs/>
          <w:i/>
        </w:rPr>
      </w:pPr>
    </w:p>
    <w:p w:rsidR="00146B5D" w:rsidRPr="00D32644" w:rsidRDefault="00146B5D" w:rsidP="00146B5D">
      <w:pPr>
        <w:spacing w:after="0" w:line="240" w:lineRule="auto"/>
        <w:ind w:left="851" w:right="851"/>
        <w:jc w:val="both"/>
        <w:rPr>
          <w:rFonts w:ascii="Palatino Linotype" w:eastAsia="Calibri" w:hAnsi="Palatino Linotype" w:cs="Tahoma"/>
          <w:bCs/>
          <w:i/>
        </w:rPr>
      </w:pPr>
      <w:r w:rsidRPr="00D32644">
        <w:rPr>
          <w:rFonts w:ascii="Palatino Linotype" w:eastAsia="Calibri" w:hAnsi="Palatino Linotype" w:cs="Tahoma"/>
          <w:bCs/>
          <w:i/>
        </w:rPr>
        <w:t>Énfasis añadido.</w:t>
      </w:r>
    </w:p>
    <w:p w:rsidR="001C3D2B" w:rsidRPr="00D32644" w:rsidRDefault="001C3D2B" w:rsidP="001C3D2B">
      <w:pPr>
        <w:spacing w:after="0" w:line="360" w:lineRule="auto"/>
        <w:jc w:val="both"/>
        <w:rPr>
          <w:rFonts w:ascii="Palatino Linotype" w:hAnsi="Palatino Linotype"/>
          <w:sz w:val="24"/>
          <w:szCs w:val="24"/>
        </w:rPr>
      </w:pPr>
    </w:p>
    <w:p w:rsidR="001C3D2B" w:rsidRPr="00D32644" w:rsidRDefault="00B127E8" w:rsidP="001C3D2B">
      <w:pPr>
        <w:spacing w:after="0" w:line="360" w:lineRule="auto"/>
        <w:jc w:val="both"/>
        <w:rPr>
          <w:rFonts w:ascii="Palatino Linotype" w:hAnsi="Palatino Linotype"/>
          <w:bCs/>
          <w:sz w:val="24"/>
          <w:szCs w:val="24"/>
          <w:lang w:val="es-ES_tradnl"/>
        </w:rPr>
      </w:pPr>
      <w:r w:rsidRPr="00D32644">
        <w:rPr>
          <w:rFonts w:ascii="Palatino Linotype" w:hAnsi="Palatino Linotype"/>
          <w:sz w:val="24"/>
          <w:szCs w:val="24"/>
        </w:rPr>
        <w:t>De lo anterior se aprecia que la Ley de Transparencia establece de manera clara y precisa que los criterios reiterados y relevantes son obligatorios para los integrantes de este Instituto, así como para los Sujeto</w:t>
      </w:r>
      <w:r w:rsidR="00D32644" w:rsidRPr="00D32644">
        <w:rPr>
          <w:rFonts w:ascii="Palatino Linotype" w:hAnsi="Palatino Linotype"/>
          <w:sz w:val="24"/>
          <w:szCs w:val="24"/>
        </w:rPr>
        <w:t>s</w:t>
      </w:r>
      <w:r w:rsidRPr="00D32644">
        <w:rPr>
          <w:rFonts w:ascii="Palatino Linotype" w:hAnsi="Palatino Linotype"/>
          <w:sz w:val="24"/>
          <w:szCs w:val="24"/>
        </w:rPr>
        <w:t xml:space="preserve"> Obligados, razón por la cual considero que en el presente asunto, debió observarse lo establecido en el </w:t>
      </w:r>
      <w:r w:rsidRPr="00D32644">
        <w:rPr>
          <w:rFonts w:ascii="Palatino Linotype" w:hAnsi="Palatino Linotype"/>
          <w:bCs/>
          <w:sz w:val="24"/>
          <w:szCs w:val="24"/>
          <w:lang w:val="es-ES_tradnl"/>
        </w:rPr>
        <w:t>Criterio Relevante 01/18, de la Segunda Época de este Instituto, circunstancia que en el presente asunto no sucedió, lo que se traduce en una inobservancia a los criterios previamente aprobados por este Órgano Garante.</w:t>
      </w:r>
    </w:p>
    <w:p w:rsidR="00B127E8" w:rsidRPr="00D32644" w:rsidRDefault="00B127E8" w:rsidP="001C3D2B">
      <w:pPr>
        <w:spacing w:after="0" w:line="360" w:lineRule="auto"/>
        <w:jc w:val="both"/>
        <w:rPr>
          <w:rFonts w:ascii="Palatino Linotype" w:hAnsi="Palatino Linotype"/>
          <w:bCs/>
          <w:sz w:val="24"/>
          <w:szCs w:val="24"/>
          <w:lang w:val="es-ES_tradnl"/>
        </w:rPr>
      </w:pPr>
      <w:r w:rsidRPr="00D32644">
        <w:rPr>
          <w:rFonts w:ascii="Palatino Linotype" w:hAnsi="Palatino Linotype"/>
          <w:bCs/>
          <w:sz w:val="24"/>
          <w:szCs w:val="24"/>
          <w:lang w:val="es-ES_tradnl"/>
        </w:rPr>
        <w:t xml:space="preserve">Sobre este punto en particular, a manera de analogía considero pertinente referir que el artículo 217 de la Ley de Amparo </w:t>
      </w:r>
      <w:r w:rsidR="007B1FB9" w:rsidRPr="00D32644">
        <w:rPr>
          <w:rFonts w:ascii="Palatino Linotype" w:hAnsi="Palatino Linotype"/>
          <w:bCs/>
          <w:sz w:val="24"/>
          <w:szCs w:val="24"/>
          <w:lang w:val="es-ES_tradnl"/>
        </w:rPr>
        <w:t>refiere:</w:t>
      </w:r>
    </w:p>
    <w:p w:rsidR="007B1FB9" w:rsidRPr="00D32644" w:rsidRDefault="007B1FB9" w:rsidP="007B1FB9">
      <w:pPr>
        <w:spacing w:after="0" w:line="240" w:lineRule="auto"/>
        <w:ind w:left="851" w:right="851"/>
        <w:jc w:val="both"/>
        <w:rPr>
          <w:rFonts w:ascii="Palatino Linotype" w:hAnsi="Palatino Linotype"/>
          <w:b/>
          <w:i/>
        </w:rPr>
      </w:pPr>
    </w:p>
    <w:p w:rsidR="007B1FB9" w:rsidRPr="00D32644" w:rsidRDefault="007B1FB9" w:rsidP="007B1FB9">
      <w:pPr>
        <w:spacing w:after="0" w:line="240" w:lineRule="auto"/>
        <w:ind w:left="851" w:right="851"/>
        <w:jc w:val="both"/>
        <w:rPr>
          <w:rFonts w:ascii="Palatino Linotype" w:hAnsi="Palatino Linotype"/>
          <w:i/>
        </w:rPr>
      </w:pPr>
      <w:r w:rsidRPr="00D32644">
        <w:rPr>
          <w:rFonts w:ascii="Palatino Linotype" w:hAnsi="Palatino Linotype"/>
          <w:b/>
          <w:i/>
        </w:rPr>
        <w:t>Artículo 217.</w:t>
      </w:r>
      <w:r w:rsidRPr="00D32644">
        <w:rPr>
          <w:rFonts w:ascii="Palatino Linotype" w:hAnsi="Palatino Linotype"/>
          <w:i/>
        </w:rPr>
        <w:t xml:space="preserve"> </w:t>
      </w:r>
      <w:r w:rsidRPr="00D32644">
        <w:rPr>
          <w:rFonts w:ascii="Palatino Linotype" w:hAnsi="Palatino Linotype"/>
          <w:b/>
          <w:i/>
          <w:u w:val="single"/>
        </w:rPr>
        <w:t>La jurisprudencia que establezca la Suprema Corte de Justicia de la Nación, funcionando en pleno o en salas, es obligatoria para éstas tratándose de la que decrete el pleno, y además para los Plenos de Circuito, los tribunales colegiados y unitarios de circuito, los juzgados de distrito, tribunales militares y judiciales del orden común de los Estados y del Distrito Federal, y tribunales administrativos y del trabajo, locales o federales</w:t>
      </w:r>
      <w:r w:rsidRPr="00D32644">
        <w:rPr>
          <w:rFonts w:ascii="Palatino Linotype" w:hAnsi="Palatino Linotype"/>
          <w:i/>
        </w:rPr>
        <w:t>.</w:t>
      </w:r>
    </w:p>
    <w:p w:rsidR="007B1FB9" w:rsidRPr="00D32644" w:rsidRDefault="007B1FB9" w:rsidP="007B1FB9">
      <w:pPr>
        <w:spacing w:after="0" w:line="240" w:lineRule="auto"/>
        <w:ind w:left="851" w:right="851"/>
        <w:jc w:val="both"/>
        <w:rPr>
          <w:rFonts w:ascii="Palatino Linotype" w:hAnsi="Palatino Linotype"/>
          <w:i/>
        </w:rPr>
      </w:pPr>
      <w:r w:rsidRPr="00D32644">
        <w:rPr>
          <w:rFonts w:ascii="Palatino Linotype" w:hAnsi="Palatino Linotype"/>
          <w:i/>
        </w:rPr>
        <w:t>La jurisprudencia que establezcan los Plenos de Circuito es obligatoria para los tribunales colegiados y unitarios de circuito, los juzgados de distrito, tribunales militares y judiciales del orden común de las entidades federativas y tribunales administrativos y del trabajo, locales o federales que se ubiquen dentro del circuito correspondiente.</w:t>
      </w:r>
    </w:p>
    <w:p w:rsidR="007B1FB9" w:rsidRPr="00D32644" w:rsidRDefault="007B1FB9" w:rsidP="007B1FB9">
      <w:pPr>
        <w:spacing w:after="0" w:line="240" w:lineRule="auto"/>
        <w:ind w:left="851" w:right="851"/>
        <w:jc w:val="both"/>
        <w:rPr>
          <w:rFonts w:ascii="Palatino Linotype" w:hAnsi="Palatino Linotype"/>
          <w:i/>
        </w:rPr>
      </w:pPr>
      <w:r w:rsidRPr="00D32644">
        <w:rPr>
          <w:rFonts w:ascii="Palatino Linotype" w:hAnsi="Palatino Linotype"/>
          <w:i/>
        </w:rPr>
        <w:t>La jurisprudencia que establezcan los tribunales colegiados de circuito es obligatoria para los órganos mencionados en el párrafo anterior, con excepción de los Plenos de Circuito y de los demás tribunales colegiados de circuito.</w:t>
      </w:r>
    </w:p>
    <w:p w:rsidR="007B1FB9" w:rsidRPr="00D32644" w:rsidRDefault="007B1FB9" w:rsidP="007B1FB9">
      <w:pPr>
        <w:spacing w:after="0" w:line="240" w:lineRule="auto"/>
        <w:ind w:left="851" w:right="851"/>
        <w:jc w:val="both"/>
        <w:rPr>
          <w:rFonts w:ascii="Palatino Linotype" w:hAnsi="Palatino Linotype"/>
          <w:i/>
          <w:sz w:val="24"/>
          <w:szCs w:val="24"/>
        </w:rPr>
      </w:pPr>
      <w:r w:rsidRPr="00D32644">
        <w:rPr>
          <w:rFonts w:ascii="Palatino Linotype" w:hAnsi="Palatino Linotype"/>
          <w:i/>
        </w:rPr>
        <w:lastRenderedPageBreak/>
        <w:t>La jurisprudencia en ningún caso tendrá efecto retroactivo en perjuicio de persona alguna.</w:t>
      </w:r>
    </w:p>
    <w:p w:rsidR="001C3D2B" w:rsidRPr="00D32644" w:rsidRDefault="001C3D2B" w:rsidP="001C3D2B">
      <w:pPr>
        <w:spacing w:after="0" w:line="360" w:lineRule="auto"/>
        <w:jc w:val="both"/>
        <w:rPr>
          <w:rFonts w:ascii="Palatino Linotype" w:hAnsi="Palatino Linotype"/>
          <w:sz w:val="23"/>
          <w:szCs w:val="23"/>
        </w:rPr>
      </w:pPr>
    </w:p>
    <w:p w:rsidR="001C3D2B" w:rsidRPr="00D32644" w:rsidRDefault="007B1FB9" w:rsidP="001C3D2B">
      <w:pPr>
        <w:spacing w:after="0" w:line="360" w:lineRule="auto"/>
        <w:jc w:val="both"/>
        <w:rPr>
          <w:rFonts w:ascii="Palatino Linotype" w:hAnsi="Palatino Linotype"/>
          <w:sz w:val="23"/>
          <w:szCs w:val="23"/>
        </w:rPr>
      </w:pPr>
      <w:r w:rsidRPr="00D32644">
        <w:rPr>
          <w:rFonts w:ascii="Palatino Linotype" w:hAnsi="Palatino Linotype"/>
          <w:sz w:val="23"/>
          <w:szCs w:val="23"/>
        </w:rPr>
        <w:t>De lo anterior, se aprecia que las jurisprudencias emitidas por el Judicial de la Federación es obligatoria para todos y cada uno de los sus integrantes, así como para los</w:t>
      </w:r>
      <w:r w:rsidRPr="00D32644">
        <w:rPr>
          <w:rFonts w:ascii="Palatino Linotype" w:hAnsi="Palatino Linotype"/>
          <w:b/>
          <w:i/>
          <w:u w:val="single"/>
        </w:rPr>
        <w:t xml:space="preserve"> </w:t>
      </w:r>
      <w:r w:rsidRPr="00D32644">
        <w:rPr>
          <w:rFonts w:ascii="Palatino Linotype" w:hAnsi="Palatino Linotype"/>
          <w:sz w:val="23"/>
          <w:szCs w:val="23"/>
        </w:rPr>
        <w:t>tribunales militares y judiciales del orden común de los Estados y del Distrito Federal, y tribunales administrativos y del trabajo, locales o federales, circunstancia que por analogía debe cobrar aplicación en el presente asunto, es decir, que los criterios previamente aprobados por este Órgano Garante deben ser aplicados de manera obligatoria tanto por los integrantes de este Instituto, así como por los Sujeto Obligados.</w:t>
      </w:r>
    </w:p>
    <w:p w:rsidR="007B1FB9" w:rsidRPr="00D32644" w:rsidRDefault="007B1FB9" w:rsidP="001C3D2B">
      <w:pPr>
        <w:spacing w:after="0" w:line="360" w:lineRule="auto"/>
        <w:jc w:val="both"/>
        <w:rPr>
          <w:rFonts w:ascii="Palatino Linotype" w:hAnsi="Palatino Linotype"/>
          <w:sz w:val="23"/>
          <w:szCs w:val="23"/>
        </w:rPr>
      </w:pPr>
    </w:p>
    <w:p w:rsidR="0074589E" w:rsidRPr="00D32644" w:rsidRDefault="0074589E" w:rsidP="001C3D2B">
      <w:pPr>
        <w:spacing w:after="0" w:line="360" w:lineRule="auto"/>
        <w:jc w:val="both"/>
        <w:rPr>
          <w:rFonts w:ascii="Palatino Linotype" w:hAnsi="Palatino Linotype" w:cs="Arial"/>
          <w:sz w:val="23"/>
          <w:szCs w:val="23"/>
        </w:rPr>
      </w:pPr>
      <w:r w:rsidRPr="00D32644">
        <w:rPr>
          <w:rFonts w:ascii="Palatino Linotype" w:hAnsi="Palatino Linotype"/>
          <w:sz w:val="23"/>
          <w:szCs w:val="23"/>
        </w:rPr>
        <w:t>En mérito de lo precisado con anterioridad</w:t>
      </w:r>
      <w:r w:rsidRPr="00D32644">
        <w:rPr>
          <w:rFonts w:ascii="Palatino Linotype" w:hAnsi="Palatino Linotype" w:cs="Arial"/>
          <w:sz w:val="23"/>
          <w:szCs w:val="23"/>
        </w:rPr>
        <w:t xml:space="preserve">, </w:t>
      </w:r>
      <w:r w:rsidRPr="00D32644">
        <w:rPr>
          <w:rFonts w:ascii="Palatino Linotype" w:hAnsi="Palatino Linotype"/>
          <w:sz w:val="23"/>
          <w:szCs w:val="23"/>
        </w:rPr>
        <w:t>el suscrito emite el presente voto particular.</w:t>
      </w:r>
    </w:p>
    <w:p w:rsidR="0074589E" w:rsidRPr="00D32644" w:rsidRDefault="0074589E" w:rsidP="0074589E">
      <w:pPr>
        <w:spacing w:after="0" w:line="360" w:lineRule="auto"/>
        <w:rPr>
          <w:rFonts w:ascii="Palatino Linotype" w:hAnsi="Palatino Linotype"/>
          <w:b/>
          <w:sz w:val="23"/>
          <w:szCs w:val="23"/>
        </w:rPr>
      </w:pPr>
    </w:p>
    <w:p w:rsidR="0074589E" w:rsidRPr="00D32644" w:rsidRDefault="0074589E" w:rsidP="0074589E">
      <w:pPr>
        <w:spacing w:after="0" w:line="240" w:lineRule="auto"/>
        <w:jc w:val="center"/>
        <w:rPr>
          <w:rFonts w:ascii="Palatino Linotype" w:hAnsi="Palatino Linotype"/>
          <w:b/>
          <w:sz w:val="23"/>
          <w:szCs w:val="23"/>
        </w:rPr>
      </w:pPr>
      <w:r w:rsidRPr="00D32644">
        <w:rPr>
          <w:rFonts w:ascii="Palatino Linotype" w:hAnsi="Palatino Linotype"/>
          <w:b/>
          <w:sz w:val="23"/>
          <w:szCs w:val="23"/>
        </w:rPr>
        <w:t xml:space="preserve">     Javier Martínez Cruz</w:t>
      </w:r>
    </w:p>
    <w:p w:rsidR="0074589E" w:rsidRPr="00D32644" w:rsidRDefault="0074589E" w:rsidP="0074589E">
      <w:pPr>
        <w:spacing w:after="0" w:line="240" w:lineRule="auto"/>
        <w:jc w:val="center"/>
        <w:rPr>
          <w:rFonts w:ascii="Palatino Linotype" w:hAnsi="Palatino Linotype"/>
          <w:sz w:val="23"/>
          <w:szCs w:val="23"/>
        </w:rPr>
      </w:pPr>
      <w:r w:rsidRPr="00D32644">
        <w:rPr>
          <w:rFonts w:ascii="Palatino Linotype" w:hAnsi="Palatino Linotype"/>
          <w:sz w:val="23"/>
          <w:szCs w:val="23"/>
        </w:rPr>
        <w:t>Comisionado</w:t>
      </w:r>
    </w:p>
    <w:p w:rsidR="00993845" w:rsidRPr="00D32644" w:rsidRDefault="00993845" w:rsidP="0074589E">
      <w:pPr>
        <w:spacing w:after="0" w:line="240" w:lineRule="auto"/>
        <w:jc w:val="center"/>
        <w:rPr>
          <w:rFonts w:ascii="Palatino Linotype" w:hAnsi="Palatino Linotype"/>
          <w:sz w:val="23"/>
          <w:szCs w:val="23"/>
        </w:rPr>
      </w:pPr>
    </w:p>
    <w:p w:rsidR="00EC4206" w:rsidRPr="00D32644" w:rsidRDefault="00EC4206"/>
    <w:sectPr w:rsidR="00EC4206" w:rsidRPr="00D32644" w:rsidSect="00115CE3">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0F9" w:rsidRDefault="001030F9" w:rsidP="0074589E">
      <w:pPr>
        <w:spacing w:after="0" w:line="240" w:lineRule="auto"/>
      </w:pPr>
      <w:r>
        <w:separator/>
      </w:r>
    </w:p>
  </w:endnote>
  <w:endnote w:type="continuationSeparator" w:id="0">
    <w:p w:rsidR="001030F9" w:rsidRDefault="001030F9" w:rsidP="00745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FF6ABF"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73209">
      <w:rPr>
        <w:rFonts w:ascii="Arial" w:hAnsi="Arial" w:cs="Arial"/>
        <w:b/>
        <w:bCs/>
        <w:noProof/>
        <w:sz w:val="20"/>
        <w:szCs w:val="20"/>
      </w:rPr>
      <w:t>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73209">
      <w:rPr>
        <w:rFonts w:ascii="Arial" w:hAnsi="Arial" w:cs="Arial"/>
        <w:b/>
        <w:bCs/>
        <w:noProof/>
        <w:sz w:val="20"/>
        <w:szCs w:val="20"/>
      </w:rPr>
      <w:t>17</w:t>
    </w:r>
    <w:r w:rsidRPr="00986599">
      <w:rPr>
        <w:rFonts w:ascii="Arial" w:hAnsi="Arial" w:cs="Arial"/>
        <w:b/>
        <w:bCs/>
        <w:sz w:val="20"/>
        <w:szCs w:val="20"/>
      </w:rPr>
      <w:fldChar w:fldCharType="end"/>
    </w:r>
  </w:p>
  <w:p w:rsidR="00D758BE" w:rsidRDefault="001030F9"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0F9" w:rsidRDefault="001030F9" w:rsidP="0074589E">
      <w:pPr>
        <w:spacing w:after="0" w:line="240" w:lineRule="auto"/>
      </w:pPr>
      <w:r>
        <w:separator/>
      </w:r>
    </w:p>
  </w:footnote>
  <w:footnote w:type="continuationSeparator" w:id="0">
    <w:p w:rsidR="001030F9" w:rsidRDefault="001030F9" w:rsidP="007458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FF6ABF">
    <w:pPr>
      <w:pStyle w:val="Encabezado"/>
    </w:pPr>
    <w:r>
      <w:rPr>
        <w:noProof/>
        <w:lang w:val="es-MX" w:eastAsia="es-MX"/>
      </w:rPr>
      <mc:AlternateContent>
        <mc:Choice Requires="wps">
          <w:drawing>
            <wp:anchor distT="0" distB="0" distL="114300" distR="114300" simplePos="0" relativeHeight="251659264" behindDoc="1" locked="0" layoutInCell="0" allowOverlap="1" wp14:anchorId="63EC73C7" wp14:editId="0122953B">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FF6ABF"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EC73C7"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FF6ABF"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FF6ABF"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26C3962F" wp14:editId="386540D3">
          <wp:simplePos x="0" y="0"/>
          <wp:positionH relativeFrom="column">
            <wp:posOffset>-1072967</wp:posOffset>
          </wp:positionH>
          <wp:positionV relativeFrom="paragraph">
            <wp:posOffset>-449906</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1030F9" w:rsidP="007263BB">
    <w:pPr>
      <w:pStyle w:val="Encabezado"/>
      <w:jc w:val="right"/>
      <w:rPr>
        <w:rFonts w:ascii="Arial" w:hAnsi="Arial" w:cs="Arial"/>
        <w:sz w:val="20"/>
        <w:szCs w:val="20"/>
      </w:rPr>
    </w:pPr>
  </w:p>
  <w:p w:rsidR="00D758BE" w:rsidRDefault="001030F9" w:rsidP="007263BB">
    <w:pPr>
      <w:pStyle w:val="Encabezado"/>
      <w:jc w:val="right"/>
      <w:rPr>
        <w:rFonts w:ascii="Arial" w:hAnsi="Arial" w:cs="Arial"/>
        <w:sz w:val="20"/>
        <w:szCs w:val="20"/>
      </w:rPr>
    </w:pPr>
  </w:p>
  <w:p w:rsidR="00706042" w:rsidRPr="00563D0F" w:rsidRDefault="00FF6ABF" w:rsidP="007263BB">
    <w:pPr>
      <w:pStyle w:val="Encabezado"/>
      <w:jc w:val="right"/>
      <w:rPr>
        <w:rFonts w:ascii="Palatino Linotype" w:hAnsi="Palatino Linotype" w:cs="Arial"/>
        <w:b/>
        <w:sz w:val="20"/>
        <w:szCs w:val="20"/>
      </w:rPr>
    </w:pPr>
    <w:r>
      <w:rPr>
        <w:rFonts w:ascii="Palatino Linotype" w:hAnsi="Palatino Linotype" w:cs="Arial"/>
        <w:b/>
        <w:sz w:val="20"/>
        <w:szCs w:val="20"/>
      </w:rPr>
      <w:t>VOTO DISIDENTE</w:t>
    </w:r>
  </w:p>
  <w:p w:rsidR="00EE5FB0" w:rsidRPr="00563D0F" w:rsidRDefault="00FF6ABF"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cs="Arial"/>
        <w:b/>
        <w:sz w:val="20"/>
        <w:szCs w:val="20"/>
      </w:rPr>
      <w:t>0</w:t>
    </w:r>
    <w:r w:rsidR="0074589E">
      <w:rPr>
        <w:rFonts w:ascii="Palatino Linotype" w:hAnsi="Palatino Linotype" w:cs="Arial"/>
        <w:b/>
        <w:sz w:val="20"/>
        <w:szCs w:val="20"/>
      </w:rPr>
      <w:t>3396</w:t>
    </w:r>
    <w:r>
      <w:rPr>
        <w:rFonts w:ascii="Palatino Linotype" w:hAnsi="Palatino Linotype" w:cs="Arial"/>
        <w:b/>
        <w:sz w:val="20"/>
        <w:szCs w:val="20"/>
      </w:rPr>
      <w:t>/INFOEM/IP/RR/2018</w:t>
    </w:r>
  </w:p>
  <w:p w:rsidR="00D758BE" w:rsidRDefault="001030F9" w:rsidP="007263BB">
    <w:pPr>
      <w:pStyle w:val="Encabezado"/>
      <w:jc w:val="right"/>
      <w:rPr>
        <w:rFonts w:ascii="Palatino Linotype" w:hAnsi="Palatino Linotype" w:cs="Arial"/>
        <w:sz w:val="20"/>
        <w:szCs w:val="20"/>
      </w:rPr>
    </w:pPr>
  </w:p>
  <w:p w:rsidR="00233AB2" w:rsidRDefault="001030F9"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C0DA2"/>
    <w:multiLevelType w:val="hybridMultilevel"/>
    <w:tmpl w:val="769CE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403571"/>
    <w:multiLevelType w:val="hybridMultilevel"/>
    <w:tmpl w:val="B75A6E06"/>
    <w:lvl w:ilvl="0" w:tplc="DDDE38EA">
      <w:start w:val="1"/>
      <w:numFmt w:val="decimal"/>
      <w:lvlText w:val="%1."/>
      <w:lvlJc w:val="left"/>
      <w:pPr>
        <w:ind w:left="346" w:hanging="240"/>
      </w:pPr>
      <w:rPr>
        <w:rFonts w:ascii="Times New Roman" w:eastAsia="Times New Roman" w:hAnsi="Times New Roman" w:hint="default"/>
        <w:color w:val="231F20"/>
        <w:w w:val="100"/>
        <w:sz w:val="22"/>
        <w:szCs w:val="22"/>
      </w:rPr>
    </w:lvl>
    <w:lvl w:ilvl="1" w:tplc="BECAFFF4">
      <w:start w:val="1"/>
      <w:numFmt w:val="decimal"/>
      <w:lvlText w:val="%2)"/>
      <w:lvlJc w:val="left"/>
      <w:pPr>
        <w:ind w:left="586" w:hanging="240"/>
      </w:pPr>
      <w:rPr>
        <w:rFonts w:ascii="Times New Roman" w:eastAsia="Times New Roman" w:hAnsi="Times New Roman" w:hint="default"/>
        <w:color w:val="231F20"/>
        <w:w w:val="100"/>
        <w:sz w:val="22"/>
        <w:szCs w:val="22"/>
      </w:rPr>
    </w:lvl>
    <w:lvl w:ilvl="2" w:tplc="080A0001">
      <w:start w:val="1"/>
      <w:numFmt w:val="bullet"/>
      <w:lvlText w:val=""/>
      <w:lvlJc w:val="left"/>
      <w:pPr>
        <w:ind w:left="584" w:hanging="238"/>
      </w:pPr>
      <w:rPr>
        <w:rFonts w:ascii="Symbol" w:hAnsi="Symbol" w:hint="default"/>
        <w:color w:val="231F20"/>
        <w:w w:val="100"/>
        <w:sz w:val="22"/>
        <w:szCs w:val="22"/>
      </w:rPr>
    </w:lvl>
    <w:lvl w:ilvl="3" w:tplc="A4BC519E">
      <w:start w:val="1"/>
      <w:numFmt w:val="decimal"/>
      <w:lvlText w:val="%4)"/>
      <w:lvlJc w:val="left"/>
      <w:pPr>
        <w:ind w:left="586" w:hanging="240"/>
      </w:pPr>
      <w:rPr>
        <w:rFonts w:ascii="Times New Roman" w:eastAsia="Times New Roman" w:hAnsi="Times New Roman" w:hint="default"/>
        <w:color w:val="231F20"/>
        <w:w w:val="100"/>
        <w:sz w:val="22"/>
        <w:szCs w:val="22"/>
      </w:rPr>
    </w:lvl>
    <w:lvl w:ilvl="4" w:tplc="77128EF2">
      <w:start w:val="1"/>
      <w:numFmt w:val="bullet"/>
      <w:lvlText w:val="—"/>
      <w:lvlJc w:val="left"/>
      <w:pPr>
        <w:ind w:left="906" w:hanging="320"/>
      </w:pPr>
      <w:rPr>
        <w:rFonts w:ascii="Times New Roman" w:eastAsia="Times New Roman" w:hAnsi="Times New Roman" w:hint="default"/>
        <w:color w:val="231F20"/>
        <w:w w:val="100"/>
        <w:sz w:val="22"/>
        <w:szCs w:val="22"/>
      </w:rPr>
    </w:lvl>
    <w:lvl w:ilvl="5" w:tplc="8006CFDE">
      <w:start w:val="1"/>
      <w:numFmt w:val="bullet"/>
      <w:lvlText w:val="•"/>
      <w:lvlJc w:val="left"/>
      <w:pPr>
        <w:ind w:left="3077" w:hanging="320"/>
      </w:pPr>
      <w:rPr>
        <w:rFonts w:hint="default"/>
      </w:rPr>
    </w:lvl>
    <w:lvl w:ilvl="6" w:tplc="02B675DA">
      <w:start w:val="1"/>
      <w:numFmt w:val="bullet"/>
      <w:lvlText w:val="•"/>
      <w:lvlJc w:val="left"/>
      <w:pPr>
        <w:ind w:left="3802" w:hanging="320"/>
      </w:pPr>
      <w:rPr>
        <w:rFonts w:hint="default"/>
      </w:rPr>
    </w:lvl>
    <w:lvl w:ilvl="7" w:tplc="ADA653F8">
      <w:start w:val="1"/>
      <w:numFmt w:val="bullet"/>
      <w:lvlText w:val="•"/>
      <w:lvlJc w:val="left"/>
      <w:pPr>
        <w:ind w:left="4528" w:hanging="320"/>
      </w:pPr>
      <w:rPr>
        <w:rFonts w:hint="default"/>
      </w:rPr>
    </w:lvl>
    <w:lvl w:ilvl="8" w:tplc="CDD03B84">
      <w:start w:val="1"/>
      <w:numFmt w:val="bullet"/>
      <w:lvlText w:val="•"/>
      <w:lvlJc w:val="left"/>
      <w:pPr>
        <w:ind w:left="5254" w:hanging="320"/>
      </w:pPr>
      <w:rPr>
        <w:rFonts w:hint="default"/>
      </w:rPr>
    </w:lvl>
  </w:abstractNum>
  <w:abstractNum w:abstractNumId="2" w15:restartNumberingAfterBreak="0">
    <w:nsid w:val="4DBA2A3C"/>
    <w:multiLevelType w:val="hybridMultilevel"/>
    <w:tmpl w:val="F138B7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DE2246C"/>
    <w:multiLevelType w:val="hybridMultilevel"/>
    <w:tmpl w:val="11F44104"/>
    <w:lvl w:ilvl="0" w:tplc="080A0001">
      <w:start w:val="1"/>
      <w:numFmt w:val="bullet"/>
      <w:lvlText w:val=""/>
      <w:lvlJc w:val="left"/>
      <w:pPr>
        <w:ind w:left="720" w:hanging="360"/>
      </w:pPr>
      <w:rPr>
        <w:rFonts w:ascii="Symbol" w:hAnsi="Symbol" w:hint="default"/>
      </w:rPr>
    </w:lvl>
    <w:lvl w:ilvl="1" w:tplc="08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DA802B9"/>
    <w:multiLevelType w:val="hybridMultilevel"/>
    <w:tmpl w:val="5C36D9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89E"/>
    <w:rsid w:val="00073209"/>
    <w:rsid w:val="000C15AF"/>
    <w:rsid w:val="001030F9"/>
    <w:rsid w:val="00146B5D"/>
    <w:rsid w:val="00150639"/>
    <w:rsid w:val="00166A3C"/>
    <w:rsid w:val="001C3D2B"/>
    <w:rsid w:val="0039126B"/>
    <w:rsid w:val="003D1E01"/>
    <w:rsid w:val="00432AA7"/>
    <w:rsid w:val="005016CC"/>
    <w:rsid w:val="00503C01"/>
    <w:rsid w:val="00620752"/>
    <w:rsid w:val="006529DA"/>
    <w:rsid w:val="00687BB2"/>
    <w:rsid w:val="006B7B42"/>
    <w:rsid w:val="0074589E"/>
    <w:rsid w:val="00764C4F"/>
    <w:rsid w:val="007B1FB9"/>
    <w:rsid w:val="009269CE"/>
    <w:rsid w:val="00984E46"/>
    <w:rsid w:val="00993845"/>
    <w:rsid w:val="009D2CD2"/>
    <w:rsid w:val="009F5989"/>
    <w:rsid w:val="00A67F5B"/>
    <w:rsid w:val="00A856C5"/>
    <w:rsid w:val="00AC6A83"/>
    <w:rsid w:val="00B05828"/>
    <w:rsid w:val="00B127E8"/>
    <w:rsid w:val="00B56986"/>
    <w:rsid w:val="00C05077"/>
    <w:rsid w:val="00C17C0A"/>
    <w:rsid w:val="00C22B26"/>
    <w:rsid w:val="00C433F0"/>
    <w:rsid w:val="00C64C3E"/>
    <w:rsid w:val="00D2140A"/>
    <w:rsid w:val="00D32644"/>
    <w:rsid w:val="00EC4206"/>
    <w:rsid w:val="00F866D4"/>
    <w:rsid w:val="00FA471C"/>
    <w:rsid w:val="00FE1782"/>
    <w:rsid w:val="00FE401E"/>
    <w:rsid w:val="00FF6A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E2904-9B3D-4859-B886-EF78A2BF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89E"/>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589E"/>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4589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4589E"/>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4589E"/>
    <w:rPr>
      <w:rFonts w:ascii="Times New Roman" w:eastAsia="Times New Roman" w:hAnsi="Times New Roman" w:cs="Times New Roman"/>
      <w:sz w:val="24"/>
      <w:szCs w:val="24"/>
      <w:lang w:val="es-ES" w:eastAsia="es-ES"/>
    </w:rPr>
  </w:style>
  <w:style w:type="paragraph" w:styleId="NormalWeb">
    <w:name w:val="Normal (Web)"/>
    <w:basedOn w:val="Normal"/>
    <w:uiPriority w:val="99"/>
    <w:rsid w:val="0074589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4589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4589E"/>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rsid w:val="0074589E"/>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4589E"/>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4589E"/>
    <w:pPr>
      <w:spacing w:after="0" w:line="240" w:lineRule="auto"/>
      <w:ind w:left="708"/>
    </w:pPr>
    <w:rPr>
      <w:rFonts w:ascii="Times New Roman" w:eastAsia="Times New Roman" w:hAnsi="Times New Roman" w:cs="Times New Roman"/>
    </w:rPr>
  </w:style>
  <w:style w:type="paragraph" w:styleId="Textodeglobo">
    <w:name w:val="Balloon Text"/>
    <w:basedOn w:val="Normal"/>
    <w:link w:val="TextodegloboCar"/>
    <w:uiPriority w:val="99"/>
    <w:semiHidden/>
    <w:unhideWhenUsed/>
    <w:rsid w:val="007B1F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1F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4205</Words>
  <Characters>23128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5</cp:revision>
  <cp:lastPrinted>2018-10-22T17:15:00Z</cp:lastPrinted>
  <dcterms:created xsi:type="dcterms:W3CDTF">2018-11-16T02:31:00Z</dcterms:created>
  <dcterms:modified xsi:type="dcterms:W3CDTF">2019-01-02T21:16:00Z</dcterms:modified>
</cp:coreProperties>
</file>